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pageBreakBefore w:val="0"/>
        <w:widowControl w:val="0"/>
        <w:spacing w:line="276" w:lineRule="auto"/>
        <w:rPr/>
      </w:pPr>
      <w:r w:rsidDel="00000000" w:rsidR="00000000" w:rsidRPr="00000000">
        <w:rPr>
          <w:rtl w:val="0"/>
        </w:rPr>
      </w:r>
    </w:p>
    <w:tbl>
      <w:tblPr>
        <w:tblStyle w:val="Table1"/>
        <w:tblW w:w="9615.0" w:type="dxa"/>
        <w:jc w:val="left"/>
        <w:tblInd w:w="70.0" w:type="dxa"/>
        <w:tblBorders>
          <w:top w:color="000000" w:space="0" w:sz="4" w:val="single"/>
          <w:left w:color="000000" w:space="0" w:sz="4" w:val="single"/>
          <w:bottom w:color="000000" w:space="0" w:sz="4" w:val="single"/>
          <w:insideH w:color="000000" w:space="0" w:sz="4" w:val="single"/>
        </w:tblBorders>
        <w:tblLayout w:type="fixed"/>
        <w:tblLook w:val="0000"/>
      </w:tblPr>
      <w:tblGrid>
        <w:gridCol w:w="7290"/>
        <w:gridCol w:w="2325"/>
        <w:tblGridChange w:id="0">
          <w:tblGrid>
            <w:gridCol w:w="7290"/>
            <w:gridCol w:w="2325"/>
          </w:tblGrid>
        </w:tblGridChange>
      </w:tblGrid>
      <w:tr>
        <w:trPr>
          <w:cantSplit w:val="0"/>
          <w:trHeight w:val="510" w:hRule="atLeast"/>
          <w:tblHeader w:val="0"/>
        </w:trPr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tcMar>
              <w:left w:w="65.0" w:type="dxa"/>
            </w:tcMar>
          </w:tcPr>
          <w:p w:rsidR="00000000" w:rsidDel="00000000" w:rsidP="00000000" w:rsidRDefault="00000000" w:rsidRPr="00000000" w14:paraId="00000002">
            <w:pPr>
              <w:keepNext w:val="1"/>
              <w:pageBreakBefore w:val="0"/>
              <w:widowControl w:val="0"/>
              <w:tabs>
                <w:tab w:val="center" w:pos="4819"/>
                <w:tab w:val="right" w:pos="9638"/>
              </w:tabs>
              <w:spacing w:line="240" w:lineRule="auto"/>
              <w:jc w:val="center"/>
              <w:rPr>
                <w:rFonts w:ascii="Tahoma" w:cs="Tahoma" w:eastAsia="Tahoma" w:hAnsi="Tahoma"/>
                <w:b w:val="1"/>
                <w:color w:val="1f497d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3">
            <w:pPr>
              <w:keepNext w:val="1"/>
              <w:pageBreakBefore w:val="0"/>
              <w:widowControl w:val="0"/>
              <w:tabs>
                <w:tab w:val="center" w:pos="4819"/>
                <w:tab w:val="right" w:pos="9638"/>
              </w:tabs>
              <w:spacing w:line="240" w:lineRule="auto"/>
              <w:jc w:val="center"/>
              <w:rPr>
                <w:rFonts w:ascii="Tahoma" w:cs="Tahoma" w:eastAsia="Tahoma" w:hAnsi="Tahoma"/>
                <w:b w:val="1"/>
                <w:color w:val="1f497d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b w:val="1"/>
                <w:color w:val="1f497d"/>
                <w:sz w:val="20"/>
                <w:szCs w:val="20"/>
                <w:rtl w:val="0"/>
              </w:rPr>
              <w:t xml:space="preserve"> PATTO D'INTEGRITA' PER </w:t>
            </w:r>
            <w:r w:rsidDel="00000000" w:rsidR="00000000" w:rsidRPr="00000000">
              <w:rPr>
                <w:rFonts w:ascii="Tahoma" w:cs="Tahoma" w:eastAsia="Tahoma" w:hAnsi="Tahoma"/>
                <w:b w:val="1"/>
                <w:color w:val="17365d"/>
                <w:sz w:val="20"/>
                <w:szCs w:val="20"/>
                <w:rtl w:val="0"/>
              </w:rPr>
              <w:t xml:space="preserve">FORNITURA DI LICENZE GOOGLE WORKSPACE, SERVIZI CLOUD PLATFORM E RELATIVO SUPPORTO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left w:w="65.0" w:type="dxa"/>
            </w:tcMar>
          </w:tcPr>
          <w:p w:rsidR="00000000" w:rsidDel="00000000" w:rsidP="00000000" w:rsidRDefault="00000000" w:rsidRPr="00000000" w14:paraId="00000004">
            <w:pPr>
              <w:keepNext w:val="1"/>
              <w:pageBreakBefore w:val="0"/>
              <w:widowControl w:val="0"/>
              <w:tabs>
                <w:tab w:val="center" w:pos="4819"/>
                <w:tab w:val="right" w:pos="9638"/>
              </w:tabs>
              <w:spacing w:line="240" w:lineRule="auto"/>
              <w:jc w:val="center"/>
              <w:rPr>
                <w:rFonts w:ascii="Tahoma" w:cs="Tahoma" w:eastAsia="Tahoma" w:hAnsi="Tahoma"/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5">
            <w:pPr>
              <w:keepNext w:val="1"/>
              <w:pageBreakBefore w:val="0"/>
              <w:widowControl w:val="0"/>
              <w:tabs>
                <w:tab w:val="center" w:pos="4819"/>
                <w:tab w:val="right" w:pos="9638"/>
              </w:tabs>
              <w:spacing w:line="240" w:lineRule="auto"/>
              <w:jc w:val="center"/>
              <w:rPr>
                <w:rFonts w:ascii="Tahoma" w:cs="Tahoma" w:eastAsia="Tahoma" w:hAnsi="Tahoma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b w:val="1"/>
                <w:sz w:val="20"/>
                <w:szCs w:val="20"/>
                <w:rtl w:val="0"/>
              </w:rPr>
              <w:t xml:space="preserve">Allegato 8</w:t>
            </w:r>
          </w:p>
        </w:tc>
      </w:tr>
      <w:tr>
        <w:trPr>
          <w:cantSplit w:val="0"/>
          <w:trHeight w:val="600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tcMar>
              <w:left w:w="65.0" w:type="dxa"/>
            </w:tcMar>
          </w:tcPr>
          <w:p w:rsidR="00000000" w:rsidDel="00000000" w:rsidP="00000000" w:rsidRDefault="00000000" w:rsidRPr="00000000" w14:paraId="00000006">
            <w:pPr>
              <w:pageBreakBefore w:val="0"/>
              <w:widowControl w:val="0"/>
              <w:rPr>
                <w:rFonts w:ascii="Tahoma" w:cs="Tahoma" w:eastAsia="Tahoma" w:hAnsi="Tahoma"/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left w:w="65.0" w:type="dxa"/>
            </w:tcMar>
          </w:tcPr>
          <w:p w:rsidR="00000000" w:rsidDel="00000000" w:rsidP="00000000" w:rsidRDefault="00000000" w:rsidRPr="00000000" w14:paraId="00000007">
            <w:pPr>
              <w:keepNext w:val="1"/>
              <w:pageBreakBefore w:val="0"/>
              <w:widowControl w:val="0"/>
              <w:tabs>
                <w:tab w:val="center" w:pos="4819"/>
                <w:tab w:val="right" w:pos="9638"/>
              </w:tabs>
              <w:spacing w:line="240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ahoma" w:cs="Tahoma" w:eastAsia="Tahoma" w:hAnsi="Tahoma"/>
                <w:b w:val="1"/>
                <w:sz w:val="20"/>
                <w:szCs w:val="20"/>
                <w:rtl w:val="0"/>
              </w:rPr>
              <w:t xml:space="preserve">Pagina 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</w:t>
            </w:r>
            <w:r w:rsidDel="00000000" w:rsidR="00000000" w:rsidRPr="00000000">
              <w:rPr>
                <w:rFonts w:ascii="Tahoma" w:cs="Tahoma" w:eastAsia="Tahoma" w:hAnsi="Tahoma"/>
                <w:b w:val="1"/>
                <w:sz w:val="20"/>
                <w:szCs w:val="20"/>
                <w:rtl w:val="0"/>
              </w:rPr>
              <w:t xml:space="preserve"> di 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</w:t>
            </w:r>
          </w:p>
        </w:tc>
      </w:tr>
    </w:tbl>
    <w:p w:rsidR="00000000" w:rsidDel="00000000" w:rsidP="00000000" w:rsidRDefault="00000000" w:rsidRPr="00000000" w14:paraId="00000008">
      <w:pPr>
        <w:keepNext w:val="1"/>
        <w:pageBreakBefore w:val="0"/>
        <w:widowControl w:val="0"/>
        <w:spacing w:line="314" w:lineRule="auto"/>
        <w:ind w:left="277" w:right="263" w:firstLine="0"/>
        <w:jc w:val="center"/>
        <w:rPr>
          <w:rFonts w:ascii="Garamond" w:cs="Garamond" w:eastAsia="Garamond" w:hAnsi="Garamond"/>
          <w:b w:val="1"/>
          <w:color w:val="1f497d"/>
          <w:sz w:val="20"/>
          <w:szCs w:val="20"/>
        </w:rPr>
      </w:pPr>
      <w:r w:rsidDel="00000000" w:rsidR="00000000" w:rsidRPr="00000000">
        <w:rPr>
          <w:rFonts w:ascii="Garamond" w:cs="Garamond" w:eastAsia="Garamond" w:hAnsi="Garamond"/>
          <w:b w:val="1"/>
          <w:color w:val="1f497d"/>
          <w:sz w:val="20"/>
          <w:szCs w:val="20"/>
          <w:rtl w:val="0"/>
        </w:rPr>
        <w:tab/>
        <w:tab/>
      </w:r>
    </w:p>
    <w:p w:rsidR="00000000" w:rsidDel="00000000" w:rsidP="00000000" w:rsidRDefault="00000000" w:rsidRPr="00000000" w14:paraId="00000009">
      <w:pPr>
        <w:keepNext w:val="1"/>
        <w:pageBreakBefore w:val="0"/>
        <w:widowControl w:val="0"/>
        <w:spacing w:line="240" w:lineRule="auto"/>
        <w:ind w:left="6" w:right="7.204724409448886" w:firstLine="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Questo documento costituisce parte integrante del bando relativo alla </w:t>
      </w: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fornitura di licenze Google Workspace, servizi Cloud Platform e relativo supporto</w:t>
      </w: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 da prestare a favore dell'amministrazione contraente: Agenzia Regionale per la prevenzione, l’ambiente e l'energia dell’Emilia-Romagna (Arpae).</w:t>
      </w:r>
    </w:p>
    <w:p w:rsidR="00000000" w:rsidDel="00000000" w:rsidP="00000000" w:rsidRDefault="00000000" w:rsidRPr="00000000" w14:paraId="0000000A">
      <w:pPr>
        <w:keepNext w:val="1"/>
        <w:pageBreakBefore w:val="0"/>
        <w:widowControl w:val="0"/>
        <w:spacing w:after="142" w:before="37" w:line="240" w:lineRule="auto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Questo Patto d'Integrità stabilisce la reciproca, formale obbligazione dell'Agenzia Regionale per la Prevenzione, l'Ambiente e l'Energia dell'Emilia-Romagna (di seguito Arpae), quale stazione appaltante e delle imprese concorrenti di conformare i propri comportamenti ai principi di lealtà, trasparenza e correttezza nonché l'espresso impegno anti-corruzione, di non offrire, accettare o richiedere somme di denaro o qualsiasi altra ricompensa, vantaggio o beneficio, sia direttamente che indirettamente tramite intermediari, al fine dell'assegnazione dell'appalto. </w:t>
        <w:br w:type="textWrapping"/>
        <w:t xml:space="preserve">Il personale e i collaboratori di Arpae e delle Imprese concorrenti, sono consapevoli del presente Patto d'Integrità, il cui spirito condividono pienamente, nonché delle sanzioni previste a loro carico in caso di mancato rispetto di questo Patto.</w:t>
      </w:r>
    </w:p>
    <w:p w:rsidR="00000000" w:rsidDel="00000000" w:rsidP="00000000" w:rsidRDefault="00000000" w:rsidRPr="00000000" w14:paraId="0000000B">
      <w:pPr>
        <w:keepNext w:val="1"/>
        <w:pageBreakBefore w:val="0"/>
        <w:widowControl w:val="0"/>
        <w:spacing w:before="95" w:line="240" w:lineRule="auto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Il Fornitore in particolare dichiara:</w:t>
      </w:r>
    </w:p>
    <w:p w:rsidR="00000000" w:rsidDel="00000000" w:rsidP="00000000" w:rsidRDefault="00000000" w:rsidRPr="00000000" w14:paraId="0000000C">
      <w:pPr>
        <w:keepNext w:val="1"/>
        <w:pageBreakBefore w:val="0"/>
        <w:widowControl w:val="0"/>
        <w:numPr>
          <w:ilvl w:val="0"/>
          <w:numId w:val="1"/>
        </w:numPr>
        <w:spacing w:before="95" w:line="240" w:lineRule="auto"/>
        <w:ind w:left="72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di impegnarsi a rispettare tutte le previsioni contenute nel disciplinare di gara e suoi allegati;</w:t>
      </w:r>
    </w:p>
    <w:p w:rsidR="00000000" w:rsidDel="00000000" w:rsidP="00000000" w:rsidRDefault="00000000" w:rsidRPr="00000000" w14:paraId="0000000D">
      <w:pPr>
        <w:keepNext w:val="1"/>
        <w:pageBreakBefore w:val="0"/>
        <w:widowControl w:val="0"/>
        <w:numPr>
          <w:ilvl w:val="0"/>
          <w:numId w:val="1"/>
        </w:numPr>
        <w:spacing w:line="240" w:lineRule="auto"/>
        <w:ind w:left="72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di impegnarsi, qualora partecipi alla procedura di acquisto contemporaneamente ad altro/i soggetto/i rispetto al/i quale/i si trovi in una situazione di controllo di cui all'art. 2359 del codice civile, ad indicare ad Arpae quale/i sia/no tale/i soggetto/i, dichiarando di aver formulato autonomamente l'offerta e allegando documentazione idonea a dimostrare che la situazione di controllo non ha influito sulla formulazione dell'offerta;</w:t>
      </w:r>
    </w:p>
    <w:p w:rsidR="00000000" w:rsidDel="00000000" w:rsidP="00000000" w:rsidRDefault="00000000" w:rsidRPr="00000000" w14:paraId="0000000E">
      <w:pPr>
        <w:keepNext w:val="1"/>
        <w:pageBreakBefore w:val="0"/>
        <w:widowControl w:val="0"/>
        <w:numPr>
          <w:ilvl w:val="0"/>
          <w:numId w:val="1"/>
        </w:numPr>
        <w:spacing w:line="240" w:lineRule="auto"/>
        <w:ind w:left="72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che non ha concluso né concluderà con altri operatori economici alcun tipo di accordo volto ad alterare o limitare la concorrenza, ovvero a determinare un unico centro decisionale ai fini della partecipazione alla gara e nella formulazione dell'offerta;</w:t>
      </w:r>
    </w:p>
    <w:p w:rsidR="00000000" w:rsidDel="00000000" w:rsidP="00000000" w:rsidRDefault="00000000" w:rsidRPr="00000000" w14:paraId="0000000F">
      <w:pPr>
        <w:keepNext w:val="1"/>
        <w:pageBreakBefore w:val="0"/>
        <w:widowControl w:val="0"/>
        <w:numPr>
          <w:ilvl w:val="0"/>
          <w:numId w:val="1"/>
        </w:numPr>
        <w:spacing w:line="240" w:lineRule="auto"/>
        <w:ind w:left="72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di impegnarsi a segnalare ad Arpae, all'indirizzo: </w:t>
      </w:r>
      <w:hyperlink r:id="rId6">
        <w:r w:rsidDel="00000000" w:rsidR="00000000" w:rsidRPr="00000000">
          <w:rPr>
            <w:rFonts w:ascii="Tahoma" w:cs="Tahoma" w:eastAsia="Tahoma" w:hAnsi="Tahoma"/>
            <w:color w:val="000080"/>
            <w:sz w:val="20"/>
            <w:szCs w:val="20"/>
            <w:u w:val="single"/>
            <w:rtl w:val="0"/>
          </w:rPr>
          <w:t xml:space="preserve">anticorruzione@arpa.emr.it</w:t>
        </w:r>
      </w:hyperlink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 qualsiasi tentativo di turbativa, irregolarità o distorsione nelle fasi di svolgimento della procedura di gara e/o durante l'esecuzione dei contratti, da parte di ogni interessato o addetto o di chiunque possa influenzare le decisioni relative alla gara in oggetto.</w:t>
      </w:r>
    </w:p>
    <w:p w:rsidR="00000000" w:rsidDel="00000000" w:rsidP="00000000" w:rsidRDefault="00000000" w:rsidRPr="00000000" w14:paraId="00000010">
      <w:pPr>
        <w:keepNext w:val="1"/>
        <w:pageBreakBefore w:val="0"/>
        <w:widowControl w:val="0"/>
        <w:spacing w:before="95" w:line="240" w:lineRule="auto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Il Fornitore prende nota ed accetta che nel caso di mancato rispetto degli impegni anticorruzione assunti con questo Patto d'Integrità comunque accettato da Arpae, potranno essere applicate le seguenti sanzioni:</w:t>
      </w:r>
    </w:p>
    <w:p w:rsidR="00000000" w:rsidDel="00000000" w:rsidP="00000000" w:rsidRDefault="00000000" w:rsidRPr="00000000" w14:paraId="00000011">
      <w:pPr>
        <w:keepNext w:val="1"/>
        <w:pageBreakBefore w:val="0"/>
        <w:widowControl w:val="0"/>
        <w:numPr>
          <w:ilvl w:val="0"/>
          <w:numId w:val="2"/>
        </w:numPr>
        <w:spacing w:before="95" w:line="240" w:lineRule="auto"/>
        <w:ind w:left="72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esclusione dalla procedura di gara ed escussione della cauzione provvisoria, fatto salvo il risarcimento per maggior danno;</w:t>
      </w:r>
    </w:p>
    <w:p w:rsidR="00000000" w:rsidDel="00000000" w:rsidP="00000000" w:rsidRDefault="00000000" w:rsidRPr="00000000" w14:paraId="00000012">
      <w:pPr>
        <w:keepNext w:val="1"/>
        <w:pageBreakBefore w:val="0"/>
        <w:widowControl w:val="0"/>
        <w:numPr>
          <w:ilvl w:val="0"/>
          <w:numId w:val="2"/>
        </w:numPr>
        <w:spacing w:line="240" w:lineRule="auto"/>
        <w:ind w:left="72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risoluzione del contratto, fatto salvo il risarcimento per maggior danno.</w:t>
      </w:r>
    </w:p>
    <w:p w:rsidR="00000000" w:rsidDel="00000000" w:rsidP="00000000" w:rsidRDefault="00000000" w:rsidRPr="00000000" w14:paraId="00000013">
      <w:pPr>
        <w:keepNext w:val="1"/>
        <w:pageBreakBefore w:val="0"/>
        <w:widowControl w:val="0"/>
        <w:spacing w:before="95" w:line="240" w:lineRule="auto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Il presente Patto d'Integrità e le relative sanzioni applicabili resteranno in vigore sino alla completa esecuzione del  contratto che verrà sottoscritto con il soggetto aggiudicatario .</w:t>
      </w:r>
    </w:p>
    <w:p w:rsidR="00000000" w:rsidDel="00000000" w:rsidP="00000000" w:rsidRDefault="00000000" w:rsidRPr="00000000" w14:paraId="00000014">
      <w:pPr>
        <w:keepNext w:val="1"/>
        <w:pageBreakBefore w:val="0"/>
        <w:widowControl w:val="0"/>
        <w:spacing w:before="95" w:line="240" w:lineRule="auto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Ogni controversia relativa all'interpretazione ed esecuzione del presente Patto d'Integrità  sarà risolta dall'Autorità Giudiziaria del Foro di Bologna. </w:t>
      </w:r>
    </w:p>
    <w:p w:rsidR="00000000" w:rsidDel="00000000" w:rsidP="00000000" w:rsidRDefault="00000000" w:rsidRPr="00000000" w14:paraId="00000015">
      <w:pPr>
        <w:keepNext w:val="1"/>
        <w:pageBreakBefore w:val="0"/>
        <w:widowControl w:val="0"/>
        <w:spacing w:before="95" w:line="240" w:lineRule="auto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keepNext w:val="1"/>
        <w:pageBreakBefore w:val="0"/>
        <w:widowControl w:val="0"/>
        <w:spacing w:before="95" w:line="240" w:lineRule="auto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Firmato digitalmente dal legale rappresentante </w:t>
        <w:tab/>
        <w:tab/>
        <w:tab/>
        <w:tab/>
        <w:t xml:space="preserve">_____________________________  </w:t>
      </w:r>
    </w:p>
    <w:p w:rsidR="00000000" w:rsidDel="00000000" w:rsidP="00000000" w:rsidRDefault="00000000" w:rsidRPr="00000000" w14:paraId="00000017">
      <w:pPr>
        <w:pageBreakBefore w:val="0"/>
        <w:rPr/>
      </w:pPr>
      <w:r w:rsidDel="00000000" w:rsidR="00000000" w:rsidRPr="00000000">
        <w:rPr>
          <w:rtl w:val="0"/>
        </w:rPr>
      </w:r>
    </w:p>
    <w:sectPr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Times New Roman"/>
  <w:font w:name="Garamond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Tahoma">
    <w:embedRegular w:fontKey="{00000000-0000-0000-0000-000000000000}" r:id="rId5" w:subsetted="0"/>
    <w:embedBold w:fontKey="{00000000-0000-0000-0000-000000000000}" r:id="rId6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it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65.0" w:type="dxa"/>
        <w:bottom w:w="0.0" w:type="dxa"/>
        <w:right w:w="7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hyperlink" Target="mailto:anticorruzione@arpa.emr.it" TargetMode="Externa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Garamond-regular.ttf"/><Relationship Id="rId2" Type="http://schemas.openxmlformats.org/officeDocument/2006/relationships/font" Target="fonts/Garamond-bold.ttf"/><Relationship Id="rId3" Type="http://schemas.openxmlformats.org/officeDocument/2006/relationships/font" Target="fonts/Garamond-italic.ttf"/><Relationship Id="rId4" Type="http://schemas.openxmlformats.org/officeDocument/2006/relationships/font" Target="fonts/Garamond-boldItalic.ttf"/><Relationship Id="rId5" Type="http://schemas.openxmlformats.org/officeDocument/2006/relationships/font" Target="fonts/Tahoma-regular.ttf"/><Relationship Id="rId6" Type="http://schemas.openxmlformats.org/officeDocument/2006/relationships/font" Target="fonts/Tahoma-bold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