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615.0" w:type="dxa"/>
        <w:jc w:val="left"/>
        <w:tblInd w:w="70.0" w:type="dxa"/>
        <w:tblBorders>
          <w:top w:color="000000" w:space="0" w:sz="4" w:val="single"/>
          <w:left w:color="000000" w:space="0" w:sz="4" w:val="single"/>
          <w:bottom w:color="000000" w:space="0" w:sz="4" w:val="single"/>
          <w:insideH w:color="000000" w:space="0" w:sz="4" w:val="single"/>
        </w:tblBorders>
        <w:tblLayout w:type="fixed"/>
        <w:tblLook w:val="0000"/>
      </w:tblPr>
      <w:tblGrid>
        <w:gridCol w:w="7290"/>
        <w:gridCol w:w="2325"/>
        <w:tblGridChange w:id="0">
          <w:tblGrid>
            <w:gridCol w:w="7290"/>
            <w:gridCol w:w="2325"/>
          </w:tblGrid>
        </w:tblGridChange>
      </w:tblGrid>
      <w:tr>
        <w:trPr>
          <w:trHeight w:val="520" w:hRule="atLeast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tcMar>
              <w:left w:w="65.0" w:type="dxa"/>
            </w:tcMar>
          </w:tcPr>
          <w:p w:rsidR="00000000" w:rsidDel="00000000" w:rsidP="00000000" w:rsidRDefault="00000000" w:rsidRPr="00000000" w14:paraId="00000002">
            <w:pPr>
              <w:keepNext w:val="1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pos="4819"/>
                <w:tab w:val="right" w:pos="9638"/>
              </w:tabs>
              <w:spacing w:after="0" w:before="0" w:line="240" w:lineRule="auto"/>
              <w:ind w:left="0" w:right="0" w:firstLine="0"/>
              <w:jc w:val="center"/>
              <w:rPr>
                <w:rFonts w:ascii="Tahoma" w:cs="Tahoma" w:eastAsia="Tahoma" w:hAnsi="Tahoma"/>
                <w:b w:val="1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3">
            <w:pPr>
              <w:keepNext w:val="1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pos="4819"/>
                <w:tab w:val="right" w:pos="9638"/>
              </w:tabs>
              <w:spacing w:after="0" w:before="0" w:line="240" w:lineRule="auto"/>
              <w:ind w:left="0" w:right="0" w:firstLine="0"/>
              <w:jc w:val="center"/>
              <w:rPr>
                <w:rFonts w:ascii="Tahoma" w:cs="Tahoma" w:eastAsia="Tahoma" w:hAnsi="Tahoma"/>
                <w:b w:val="1"/>
                <w:color w:val="ff0000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b w:val="1"/>
                <w:i w:val="0"/>
                <w:smallCaps w:val="0"/>
                <w:strike w:val="0"/>
                <w:color w:val="1f497d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PATTO D'INTEGRITA' PER</w:t>
            </w:r>
            <w:r w:rsidDel="00000000" w:rsidR="00000000" w:rsidRPr="00000000">
              <w:rPr>
                <w:rFonts w:ascii="Tahoma" w:cs="Tahoma" w:eastAsia="Tahoma" w:hAnsi="Tahoma"/>
                <w:b w:val="1"/>
                <w:color w:val="1f497d"/>
                <w:sz w:val="20"/>
                <w:szCs w:val="20"/>
                <w:rtl w:val="0"/>
              </w:rPr>
              <w:t xml:space="preserve"> L’AFFIDAMENTO DEI SERVIZI DI MANUTENZIONE E GESTIONE DELLE APPARECCHIATURE PER ANALISI AMBIENTALI A MARCHIO AGILENT IN DOTAZIONE NEI LABORATORI ARPAE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left w:w="65.0" w:type="dxa"/>
            </w:tcMar>
          </w:tcPr>
          <w:p w:rsidR="00000000" w:rsidDel="00000000" w:rsidP="00000000" w:rsidRDefault="00000000" w:rsidRPr="00000000" w14:paraId="00000004">
            <w:pPr>
              <w:keepNext w:val="1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pos="4819"/>
                <w:tab w:val="right" w:pos="9638"/>
              </w:tabs>
              <w:spacing w:after="0" w:before="0" w:line="240" w:lineRule="auto"/>
              <w:ind w:left="0" w:right="0" w:firstLine="0"/>
              <w:jc w:val="center"/>
              <w:rPr>
                <w:rFonts w:ascii="Tahoma" w:cs="Tahoma" w:eastAsia="Tahoma" w:hAnsi="Tahoma"/>
                <w:b w:val="1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5">
            <w:pPr>
              <w:keepNext w:val="1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pos="4819"/>
                <w:tab w:val="right" w:pos="9638"/>
              </w:tabs>
              <w:spacing w:after="0" w:before="0" w:line="240" w:lineRule="auto"/>
              <w:ind w:left="0" w:right="0" w:firstLine="0"/>
              <w:jc w:val="center"/>
              <w:rPr>
                <w:rFonts w:ascii="Tahoma" w:cs="Tahoma" w:eastAsia="Tahoma" w:hAnsi="Tahoma"/>
                <w:b w:val="1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ahoma" w:cs="Tahoma" w:eastAsia="Tahoma" w:hAnsi="Tahoma"/>
                <w:b w:val="1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Allegato  </w:t>
            </w:r>
            <w:r w:rsidDel="00000000" w:rsidR="00000000" w:rsidRPr="00000000">
              <w:rPr>
                <w:rFonts w:ascii="Tahoma" w:cs="Tahoma" w:eastAsia="Tahoma" w:hAnsi="Tahoma"/>
                <w:b w:val="1"/>
                <w:sz w:val="20"/>
                <w:szCs w:val="20"/>
                <w:rtl w:val="0"/>
              </w:rPr>
              <w:t xml:space="preserve">9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600" w:hRule="atLeast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tcMar>
              <w:left w:w="65.0" w:type="dxa"/>
            </w:tcMar>
          </w:tcPr>
          <w:p w:rsidR="00000000" w:rsidDel="00000000" w:rsidP="00000000" w:rsidRDefault="00000000" w:rsidRPr="00000000" w14:paraId="00000006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b w:val="1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left w:w="65.0" w:type="dxa"/>
            </w:tcMar>
          </w:tcPr>
          <w:p w:rsidR="00000000" w:rsidDel="00000000" w:rsidP="00000000" w:rsidRDefault="00000000" w:rsidRPr="00000000" w14:paraId="00000007">
            <w:pPr>
              <w:keepNext w:val="1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pos="4819"/>
                <w:tab w:val="right" w:pos="9638"/>
              </w:tabs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ahoma" w:cs="Tahoma" w:eastAsia="Tahoma" w:hAnsi="Tahoma"/>
                <w:b w:val="1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Pagina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</w:t>
            </w:r>
            <w:r w:rsidDel="00000000" w:rsidR="00000000" w:rsidRPr="00000000">
              <w:rPr>
                <w:rFonts w:ascii="Tahoma" w:cs="Tahoma" w:eastAsia="Tahoma" w:hAnsi="Tahoma"/>
                <w:b w:val="1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 di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</w:t>
            </w:r>
          </w:p>
        </w:tc>
      </w:tr>
    </w:tbl>
    <w:p w:rsidR="00000000" w:rsidDel="00000000" w:rsidP="00000000" w:rsidRDefault="00000000" w:rsidRPr="00000000" w14:paraId="00000008">
      <w:pPr>
        <w:spacing w:after="0" w:before="0" w:line="314" w:lineRule="auto"/>
        <w:ind w:left="277" w:right="263" w:firstLine="0"/>
        <w:jc w:val="center"/>
        <w:rPr>
          <w:rFonts w:ascii="Garamond" w:cs="Garamond" w:eastAsia="Garamond" w:hAnsi="Garamond"/>
          <w:b w:val="1"/>
          <w:color w:val="1f497d"/>
          <w:sz w:val="20"/>
          <w:szCs w:val="20"/>
        </w:rPr>
      </w:pPr>
      <w:r w:rsidDel="00000000" w:rsidR="00000000" w:rsidRPr="00000000">
        <w:rPr>
          <w:rFonts w:ascii="Garamond" w:cs="Garamond" w:eastAsia="Garamond" w:hAnsi="Garamond"/>
          <w:b w:val="1"/>
          <w:color w:val="1f497d"/>
          <w:sz w:val="20"/>
          <w:szCs w:val="20"/>
          <w:rtl w:val="0"/>
        </w:rPr>
        <w:tab/>
        <w:tab/>
      </w:r>
    </w:p>
    <w:p w:rsidR="00000000" w:rsidDel="00000000" w:rsidP="00000000" w:rsidRDefault="00000000" w:rsidRPr="00000000" w14:paraId="00000009">
      <w:pPr>
        <w:spacing w:after="0" w:before="0" w:line="240" w:lineRule="auto"/>
        <w:ind w:left="6" w:right="7.204724409448886" w:firstLine="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Questo documento costituisce parte integrante del bando per l'affidamento dei servizi di manutenzione e gestione delle apparecchiature per analisi ambientali a marchio Agilent in dotazione nei laboratori Arpae</w:t>
      </w:r>
      <w:r w:rsidDel="00000000" w:rsidR="00000000" w:rsidRPr="00000000">
        <w:rPr>
          <w:rFonts w:ascii="Tahoma" w:cs="Tahoma" w:eastAsia="Tahoma" w:hAnsi="Tahoma"/>
          <w:b w:val="1"/>
          <w:color w:val="222222"/>
          <w:sz w:val="20"/>
          <w:szCs w:val="20"/>
          <w:highlight w:val="white"/>
          <w:rtl w:val="0"/>
        </w:rPr>
        <w:t xml:space="preserve"> </w:t>
      </w: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a favore dell'amministrazione contraente : Agenzia Regionale per la prevenzione, l’ambiente e l'energia dell’Emilia-Romagna (Arpae).</w:t>
      </w:r>
    </w:p>
    <w:p w:rsidR="00000000" w:rsidDel="00000000" w:rsidP="00000000" w:rsidRDefault="00000000" w:rsidRPr="00000000" w14:paraId="0000000A">
      <w:pPr>
        <w:spacing w:after="142" w:before="37" w:line="240" w:lineRule="auto"/>
        <w:ind w:left="0" w:right="0" w:firstLine="0"/>
        <w:jc w:val="both"/>
        <w:rPr>
          <w:rFonts w:ascii="Tahoma" w:cs="Tahoma" w:eastAsia="Tahoma" w:hAnsi="Tahoma"/>
          <w:b w:val="0"/>
          <w:i w:val="0"/>
          <w:color w:val="000000"/>
          <w:sz w:val="20"/>
          <w:szCs w:val="20"/>
          <w:u w:val="none"/>
        </w:rPr>
      </w:pPr>
      <w:r w:rsidDel="00000000" w:rsidR="00000000" w:rsidRPr="00000000">
        <w:rPr>
          <w:rFonts w:ascii="Tahoma" w:cs="Tahoma" w:eastAsia="Tahoma" w:hAnsi="Tahoma"/>
          <w:i w:val="0"/>
          <w:color w:val="000000"/>
          <w:sz w:val="20"/>
          <w:szCs w:val="20"/>
          <w:u w:val="none"/>
          <w:rtl w:val="0"/>
        </w:rPr>
        <w:t xml:space="preserve">Questo Patto d'Integrità stabilisce la reciproca, formale obbligazi</w:t>
      </w:r>
      <w:r w:rsidDel="00000000" w:rsidR="00000000" w:rsidRPr="00000000">
        <w:rPr>
          <w:rFonts w:ascii="Tahoma" w:cs="Tahoma" w:eastAsia="Tahoma" w:hAnsi="Tahoma"/>
          <w:b w:val="0"/>
          <w:i w:val="0"/>
          <w:color w:val="000000"/>
          <w:sz w:val="20"/>
          <w:szCs w:val="20"/>
          <w:u w:val="none"/>
          <w:rtl w:val="0"/>
        </w:rPr>
        <w:t xml:space="preserve">one dell'Agenzia Regionale per la Prevenzione, l'Ambiente e l'Energia dell'Emilia-Romagna (di seguito Arpae), quale stazione appaltante e delle imprese concorrenti di conformare i propri comportamenti ai principi di lealtà, trasparenza e correttezza nonché l'espresso impegno anti-corruzione, di non offrire, accettare o richiedere somme di denaro o qualsiasi altra ricompensa, vantaggio o beneficio, sia direttamente che indirettamente tramite intermediari, al fine dell'assegnazione dell'appalto. </w:t>
        <w:br w:type="textWrapping"/>
        <w:t xml:space="preserve">Il personale e i collaboratori di Arpae e delle Imprese concorrenti, sono consapevoli del presente Patto d'Integrità, il cui spirito condividono pienamente, nonché delle sanzioni previste a loro carico in caso di mancato rispetto di questo Patto.</w:t>
      </w:r>
    </w:p>
    <w:p w:rsidR="00000000" w:rsidDel="00000000" w:rsidP="00000000" w:rsidRDefault="00000000" w:rsidRPr="00000000" w14:paraId="0000000B">
      <w:pPr>
        <w:spacing w:after="0" w:before="95" w:line="240" w:lineRule="auto"/>
        <w:ind w:left="0" w:right="0" w:firstLine="0"/>
        <w:jc w:val="both"/>
        <w:rPr>
          <w:rFonts w:ascii="Tahoma" w:cs="Tahoma" w:eastAsia="Tahoma" w:hAnsi="Tahoma"/>
          <w:b w:val="0"/>
          <w:i w:val="0"/>
          <w:color w:val="000000"/>
          <w:sz w:val="20"/>
          <w:szCs w:val="20"/>
          <w:u w:val="none"/>
        </w:rPr>
      </w:pPr>
      <w:r w:rsidDel="00000000" w:rsidR="00000000" w:rsidRPr="00000000">
        <w:rPr>
          <w:rFonts w:ascii="Tahoma" w:cs="Tahoma" w:eastAsia="Tahoma" w:hAnsi="Tahoma"/>
          <w:b w:val="0"/>
          <w:i w:val="0"/>
          <w:color w:val="000000"/>
          <w:sz w:val="20"/>
          <w:szCs w:val="20"/>
          <w:u w:val="none"/>
          <w:rtl w:val="0"/>
        </w:rPr>
        <w:t xml:space="preserve">Il Fornitore in particolare dichiara:</w:t>
      </w:r>
    </w:p>
    <w:p w:rsidR="00000000" w:rsidDel="00000000" w:rsidP="00000000" w:rsidRDefault="00000000" w:rsidRPr="00000000" w14:paraId="0000000C">
      <w:pPr>
        <w:numPr>
          <w:ilvl w:val="0"/>
          <w:numId w:val="1"/>
        </w:numPr>
        <w:spacing w:after="0" w:before="95" w:line="240" w:lineRule="auto"/>
        <w:ind w:left="720" w:right="0" w:hanging="360"/>
        <w:jc w:val="both"/>
        <w:rPr>
          <w:rFonts w:ascii="Tahoma" w:cs="Tahoma" w:eastAsia="Tahoma" w:hAnsi="Tahoma"/>
          <w:b w:val="0"/>
          <w:i w:val="0"/>
          <w:color w:val="000000"/>
          <w:u w:val="none"/>
        </w:rPr>
      </w:pPr>
      <w:r w:rsidDel="00000000" w:rsidR="00000000" w:rsidRPr="00000000">
        <w:rPr>
          <w:rFonts w:ascii="Tahoma" w:cs="Tahoma" w:eastAsia="Tahoma" w:hAnsi="Tahoma"/>
          <w:b w:val="0"/>
          <w:i w:val="0"/>
          <w:color w:val="000000"/>
          <w:sz w:val="20"/>
          <w:szCs w:val="20"/>
          <w:u w:val="none"/>
          <w:rtl w:val="0"/>
        </w:rPr>
        <w:t xml:space="preserve">di impegnarsi a rispettare tutte le previsioni contenute nel disciplinare di gara e suoi allegati;</w:t>
      </w:r>
    </w:p>
    <w:p w:rsidR="00000000" w:rsidDel="00000000" w:rsidP="00000000" w:rsidRDefault="00000000" w:rsidRPr="00000000" w14:paraId="0000000D">
      <w:pPr>
        <w:numPr>
          <w:ilvl w:val="0"/>
          <w:numId w:val="1"/>
        </w:numPr>
        <w:spacing w:after="0" w:before="95" w:line="240" w:lineRule="auto"/>
        <w:ind w:left="720" w:right="0" w:hanging="360"/>
        <w:jc w:val="both"/>
        <w:rPr>
          <w:rFonts w:ascii="Tahoma" w:cs="Tahoma" w:eastAsia="Tahoma" w:hAnsi="Tahoma"/>
          <w:b w:val="0"/>
          <w:i w:val="0"/>
          <w:color w:val="000000"/>
          <w:u w:val="none"/>
        </w:rPr>
      </w:pPr>
      <w:r w:rsidDel="00000000" w:rsidR="00000000" w:rsidRPr="00000000">
        <w:rPr>
          <w:rFonts w:ascii="Tahoma" w:cs="Tahoma" w:eastAsia="Tahoma" w:hAnsi="Tahoma"/>
          <w:b w:val="0"/>
          <w:i w:val="0"/>
          <w:color w:val="000000"/>
          <w:sz w:val="20"/>
          <w:szCs w:val="20"/>
          <w:u w:val="none"/>
          <w:rtl w:val="0"/>
        </w:rPr>
        <w:t xml:space="preserve">di impegnarsi, qualora partecipi alla procedura di acquisto contemporaneamente ad altro/i soggetto/i rispetto al/i quale/i si trovi in una situazione di controllo di cui all'art. 2359 del codice civile, ad indicare ad Arpae quale/i sia/no tale/i soggetto/i, dichiarando di aver formulato autonomamente l'offerta e allegando documentazione idonea a dimostrare che la situazione di controllo non ha influito sulla formulazione dell'offerta;</w:t>
      </w:r>
    </w:p>
    <w:p w:rsidR="00000000" w:rsidDel="00000000" w:rsidP="00000000" w:rsidRDefault="00000000" w:rsidRPr="00000000" w14:paraId="0000000E">
      <w:pPr>
        <w:numPr>
          <w:ilvl w:val="0"/>
          <w:numId w:val="1"/>
        </w:numPr>
        <w:spacing w:after="0" w:before="95" w:line="240" w:lineRule="auto"/>
        <w:ind w:left="720" w:right="0" w:hanging="360"/>
        <w:jc w:val="both"/>
        <w:rPr>
          <w:rFonts w:ascii="Tahoma" w:cs="Tahoma" w:eastAsia="Tahoma" w:hAnsi="Tahoma"/>
          <w:b w:val="0"/>
          <w:i w:val="0"/>
          <w:color w:val="000000"/>
          <w:u w:val="none"/>
        </w:rPr>
      </w:pPr>
      <w:r w:rsidDel="00000000" w:rsidR="00000000" w:rsidRPr="00000000">
        <w:rPr>
          <w:rFonts w:ascii="Tahoma" w:cs="Tahoma" w:eastAsia="Tahoma" w:hAnsi="Tahoma"/>
          <w:b w:val="0"/>
          <w:i w:val="0"/>
          <w:color w:val="000000"/>
          <w:sz w:val="20"/>
          <w:szCs w:val="20"/>
          <w:u w:val="none"/>
          <w:rtl w:val="0"/>
        </w:rPr>
        <w:t xml:space="preserve">che non ha concluso né concluderà con altri operatori economici alcun tipo di accordo volto ad alterare o limitare la concorrenza, ovvero a determinare un unico centro decisionale ai fini della partecipazione alla gara e nella formulazione dell'offerta;</w:t>
      </w:r>
    </w:p>
    <w:p w:rsidR="00000000" w:rsidDel="00000000" w:rsidP="00000000" w:rsidRDefault="00000000" w:rsidRPr="00000000" w14:paraId="0000000F">
      <w:pPr>
        <w:numPr>
          <w:ilvl w:val="0"/>
          <w:numId w:val="1"/>
        </w:numPr>
        <w:spacing w:after="0" w:before="95" w:line="240" w:lineRule="auto"/>
        <w:ind w:left="720" w:right="0" w:hanging="360"/>
        <w:jc w:val="both"/>
        <w:rPr/>
      </w:pPr>
      <w:r w:rsidDel="00000000" w:rsidR="00000000" w:rsidRPr="00000000">
        <w:rPr>
          <w:rFonts w:ascii="Tahoma" w:cs="Tahoma" w:eastAsia="Tahoma" w:hAnsi="Tahoma"/>
          <w:b w:val="0"/>
          <w:i w:val="0"/>
          <w:color w:val="000000"/>
          <w:sz w:val="20"/>
          <w:szCs w:val="20"/>
          <w:u w:val="none"/>
          <w:rtl w:val="0"/>
        </w:rPr>
        <w:t xml:space="preserve">di impegnarsi a segnalare ad Arpae, all'indirizzo: </w:t>
      </w:r>
      <w:hyperlink r:id="rId6">
        <w:r w:rsidDel="00000000" w:rsidR="00000000" w:rsidRPr="00000000">
          <w:rPr>
            <w:rFonts w:ascii="Tahoma" w:cs="Tahoma" w:eastAsia="Tahoma" w:hAnsi="Tahoma"/>
            <w:color w:val="000080"/>
            <w:sz w:val="20"/>
            <w:szCs w:val="20"/>
            <w:u w:val="single"/>
            <w:rtl w:val="0"/>
          </w:rPr>
          <w:t xml:space="preserve">anticorruzione@arpa.emr.it</w:t>
        </w:r>
      </w:hyperlink>
      <w:r w:rsidDel="00000000" w:rsidR="00000000" w:rsidRPr="00000000">
        <w:rPr>
          <w:rFonts w:ascii="Tahoma" w:cs="Tahoma" w:eastAsia="Tahoma" w:hAnsi="Tahoma"/>
          <w:b w:val="0"/>
          <w:i w:val="0"/>
          <w:color w:val="000000"/>
          <w:sz w:val="20"/>
          <w:szCs w:val="20"/>
          <w:u w:val="none"/>
          <w:rtl w:val="0"/>
        </w:rPr>
        <w:t xml:space="preserve"> qualsiasi tentativo di turbativa, irregolarità o distorsione nelle fasi di svolgimento della procedura di gara e/o durante l'esecuzione dei contratti, da parte di ogni interessato o addetto o di chiunque possa influenzare le decisioni relative alla gara in oggetto.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spacing w:after="0" w:before="95" w:line="240" w:lineRule="auto"/>
        <w:jc w:val="both"/>
        <w:rPr>
          <w:rFonts w:ascii="Tahoma" w:cs="Tahoma" w:eastAsia="Tahoma" w:hAnsi="Tahoma"/>
          <w:b w:val="0"/>
          <w:i w:val="0"/>
          <w:color w:val="000000"/>
          <w:sz w:val="20"/>
          <w:szCs w:val="20"/>
          <w:u w:val="none"/>
        </w:rPr>
      </w:pPr>
      <w:r w:rsidDel="00000000" w:rsidR="00000000" w:rsidRPr="00000000">
        <w:rPr>
          <w:rFonts w:ascii="Tahoma" w:cs="Tahoma" w:eastAsia="Tahoma" w:hAnsi="Tahoma"/>
          <w:b w:val="0"/>
          <w:i w:val="0"/>
          <w:color w:val="000000"/>
          <w:sz w:val="20"/>
          <w:szCs w:val="20"/>
          <w:u w:val="none"/>
          <w:rtl w:val="0"/>
        </w:rPr>
        <w:t xml:space="preserve">Il Fornitore prende nota ed accetta che nel caso di mancato rispetto degli impegni anticorruzione assunti con questo Patto d'Integrità comunque accettato da Arpae, potranno essere applicate le seguenti sanzioni:</w:t>
      </w:r>
    </w:p>
    <w:p w:rsidR="00000000" w:rsidDel="00000000" w:rsidP="00000000" w:rsidRDefault="00000000" w:rsidRPr="00000000" w14:paraId="00000011">
      <w:pPr>
        <w:numPr>
          <w:ilvl w:val="0"/>
          <w:numId w:val="2"/>
        </w:numPr>
        <w:spacing w:after="0" w:before="95" w:line="240" w:lineRule="auto"/>
        <w:ind w:left="720" w:right="0" w:hanging="360"/>
        <w:jc w:val="both"/>
        <w:rPr>
          <w:rFonts w:ascii="Tahoma" w:cs="Tahoma" w:eastAsia="Tahoma" w:hAnsi="Tahoma"/>
          <w:b w:val="0"/>
          <w:i w:val="0"/>
          <w:color w:val="000000"/>
          <w:u w:val="none"/>
        </w:rPr>
      </w:pPr>
      <w:r w:rsidDel="00000000" w:rsidR="00000000" w:rsidRPr="00000000">
        <w:rPr>
          <w:rFonts w:ascii="Tahoma" w:cs="Tahoma" w:eastAsia="Tahoma" w:hAnsi="Tahoma"/>
          <w:b w:val="0"/>
          <w:i w:val="0"/>
          <w:color w:val="000000"/>
          <w:sz w:val="20"/>
          <w:szCs w:val="20"/>
          <w:u w:val="none"/>
          <w:rtl w:val="0"/>
        </w:rPr>
        <w:t xml:space="preserve">esclusione dalla procedura di gara ed escussione della cauzione provvisoria, fatto salvo il risarcimento per maggior danno;</w:t>
      </w:r>
    </w:p>
    <w:p w:rsidR="00000000" w:rsidDel="00000000" w:rsidP="00000000" w:rsidRDefault="00000000" w:rsidRPr="00000000" w14:paraId="00000012">
      <w:pPr>
        <w:numPr>
          <w:ilvl w:val="0"/>
          <w:numId w:val="2"/>
        </w:numPr>
        <w:spacing w:after="0" w:before="95" w:line="240" w:lineRule="auto"/>
        <w:ind w:left="720" w:right="0" w:hanging="360"/>
        <w:jc w:val="both"/>
        <w:rPr>
          <w:rFonts w:ascii="Tahoma" w:cs="Tahoma" w:eastAsia="Tahoma" w:hAnsi="Tahoma"/>
          <w:b w:val="0"/>
          <w:i w:val="0"/>
          <w:color w:val="000000"/>
          <w:u w:val="none"/>
        </w:rPr>
      </w:pPr>
      <w:r w:rsidDel="00000000" w:rsidR="00000000" w:rsidRPr="00000000">
        <w:rPr>
          <w:rFonts w:ascii="Tahoma" w:cs="Tahoma" w:eastAsia="Tahoma" w:hAnsi="Tahoma"/>
          <w:b w:val="0"/>
          <w:i w:val="0"/>
          <w:color w:val="000000"/>
          <w:sz w:val="20"/>
          <w:szCs w:val="20"/>
          <w:u w:val="none"/>
          <w:rtl w:val="0"/>
        </w:rPr>
        <w:t xml:space="preserve">risoluzione del contratto, fatto salvo il risarcimento per maggior danno.</w:t>
      </w:r>
    </w:p>
    <w:p w:rsidR="00000000" w:rsidDel="00000000" w:rsidP="00000000" w:rsidRDefault="00000000" w:rsidRPr="00000000" w14:paraId="00000013">
      <w:pPr>
        <w:spacing w:after="0" w:before="95" w:line="240" w:lineRule="auto"/>
        <w:jc w:val="both"/>
        <w:rPr>
          <w:rFonts w:ascii="Tahoma" w:cs="Tahoma" w:eastAsia="Tahoma" w:hAnsi="Tahoma"/>
          <w:b w:val="0"/>
          <w:i w:val="0"/>
          <w:color w:val="000000"/>
          <w:sz w:val="20"/>
          <w:szCs w:val="20"/>
          <w:u w:val="none"/>
        </w:rPr>
      </w:pPr>
      <w:r w:rsidDel="00000000" w:rsidR="00000000" w:rsidRPr="00000000">
        <w:rPr>
          <w:rFonts w:ascii="Tahoma" w:cs="Tahoma" w:eastAsia="Tahoma" w:hAnsi="Tahoma"/>
          <w:b w:val="0"/>
          <w:i w:val="0"/>
          <w:color w:val="000000"/>
          <w:sz w:val="20"/>
          <w:szCs w:val="20"/>
          <w:u w:val="none"/>
          <w:rtl w:val="0"/>
        </w:rPr>
        <w:t xml:space="preserve">Il presente Patto d'Integrità e le relative sanzioni applicabili resteranno in vigore sino alla completa esecuzione del  contratto che verrà sottoscritto con il soggetto aggiudicatario .</w:t>
      </w:r>
    </w:p>
    <w:p w:rsidR="00000000" w:rsidDel="00000000" w:rsidP="00000000" w:rsidRDefault="00000000" w:rsidRPr="00000000" w14:paraId="00000014">
      <w:pPr>
        <w:spacing w:after="0" w:before="95" w:line="240" w:lineRule="auto"/>
        <w:jc w:val="both"/>
        <w:rPr>
          <w:rFonts w:ascii="Tahoma" w:cs="Tahoma" w:eastAsia="Tahoma" w:hAnsi="Tahoma"/>
          <w:b w:val="0"/>
          <w:i w:val="0"/>
          <w:color w:val="000000"/>
          <w:sz w:val="20"/>
          <w:szCs w:val="20"/>
          <w:u w:val="none"/>
        </w:rPr>
      </w:pPr>
      <w:r w:rsidDel="00000000" w:rsidR="00000000" w:rsidRPr="00000000">
        <w:rPr>
          <w:rFonts w:ascii="Tahoma" w:cs="Tahoma" w:eastAsia="Tahoma" w:hAnsi="Tahoma"/>
          <w:b w:val="0"/>
          <w:i w:val="0"/>
          <w:color w:val="000000"/>
          <w:sz w:val="20"/>
          <w:szCs w:val="20"/>
          <w:u w:val="none"/>
          <w:rtl w:val="0"/>
        </w:rPr>
        <w:t xml:space="preserve">Ogni controversia relativa all'interpretazione ed esecuzione del presente Patto d'Integrità  sarà risolta dall'Autorità Giudiziaria del Foro di Bologna. </w:t>
      </w:r>
    </w:p>
    <w:p w:rsidR="00000000" w:rsidDel="00000000" w:rsidP="00000000" w:rsidRDefault="00000000" w:rsidRPr="00000000" w14:paraId="00000015">
      <w:pPr>
        <w:spacing w:after="0" w:before="95" w:line="240" w:lineRule="auto"/>
        <w:jc w:val="both"/>
        <w:rPr>
          <w:rFonts w:ascii="Tahoma" w:cs="Tahoma" w:eastAsia="Tahoma" w:hAnsi="Tahoma"/>
          <w:b w:val="0"/>
          <w:i w:val="0"/>
          <w:color w:val="000000"/>
          <w:sz w:val="20"/>
          <w:szCs w:val="20"/>
          <w:u w:val="none"/>
        </w:rPr>
      </w:pPr>
      <w:r w:rsidDel="00000000" w:rsidR="00000000" w:rsidRPr="00000000">
        <w:rPr>
          <w:rFonts w:ascii="Tahoma" w:cs="Tahoma" w:eastAsia="Tahoma" w:hAnsi="Tahoma"/>
          <w:b w:val="0"/>
          <w:i w:val="0"/>
          <w:color w:val="000000"/>
          <w:sz w:val="20"/>
          <w:szCs w:val="20"/>
          <w:u w:val="none"/>
          <w:rtl w:val="0"/>
        </w:rPr>
        <w:t xml:space="preserve">Firma del legale rappresentante </w:t>
        <w:tab/>
        <w:tab/>
        <w:tab/>
        <w:tab/>
        <w:t xml:space="preserve">_____________________________  </w:t>
      </w:r>
    </w:p>
    <w:sectPr>
      <w:footerReference r:id="rId7" w:type="default"/>
      <w:pgSz w:h="16838" w:w="11906" w:orient="portrait"/>
      <w:pgMar w:bottom="1698" w:top="1134" w:left="1134" w:right="1127" w:header="0" w:footer="144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Times New Roman"/>
  <w:font w:name="Georgia"/>
  <w:font w:name="Garamond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Tahoma">
    <w:embedRegular w:fontKey="{00000000-0000-0000-0000-000000000000}" r:id="rId5" w:subsetted="0"/>
    <w:embedBold w:fontKey="{00000000-0000-0000-0000-000000000000}" r:id="rId6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6">
    <w:pPr>
      <w:widowControl w:val="0"/>
      <w:tabs>
        <w:tab w:val="center" w:pos="4822"/>
        <w:tab w:val="right" w:pos="9645"/>
      </w:tabs>
      <w:spacing w:after="1134" w:before="0" w:line="240" w:lineRule="auto"/>
      <w:jc w:val="center"/>
      <w:rPr/>
    </w:pPr>
    <w:r w:rsidDel="00000000" w:rsidR="00000000" w:rsidRPr="00000000">
      <w:rPr/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b w:val="0"/>
        <w:color w:val="000000"/>
        <w:sz w:val="24"/>
        <w:szCs w:val="24"/>
        <w:rtl w:val="0"/>
      </w:rPr>
      <w:t xml:space="preserve"> di 1</w:t>
    </w:r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"/>
      <w:lvlJc w:val="left"/>
      <w:pPr>
        <w:ind w:left="720" w:firstLine="360"/>
      </w:pPr>
      <w:rPr>
        <w:sz w:val="18"/>
        <w:szCs w:val="18"/>
      </w:rPr>
    </w:lvl>
    <w:lvl w:ilvl="1">
      <w:start w:val="1"/>
      <w:numFmt w:val="bullet"/>
      <w:lvlText w:val="◦"/>
      <w:lvlJc w:val="left"/>
      <w:pPr>
        <w:ind w:left="1080" w:firstLine="720"/>
      </w:pPr>
      <w:rPr>
        <w:sz w:val="18"/>
        <w:szCs w:val="18"/>
      </w:rPr>
    </w:lvl>
    <w:lvl w:ilvl="2">
      <w:start w:val="1"/>
      <w:numFmt w:val="bullet"/>
      <w:lvlText w:val="▪"/>
      <w:lvlJc w:val="left"/>
      <w:pPr>
        <w:ind w:left="1440" w:firstLine="1080"/>
      </w:pPr>
      <w:rPr>
        <w:sz w:val="18"/>
        <w:szCs w:val="18"/>
      </w:rPr>
    </w:lvl>
    <w:lvl w:ilvl="3">
      <w:start w:val="1"/>
      <w:numFmt w:val="bullet"/>
      <w:lvlText w:val=""/>
      <w:lvlJc w:val="left"/>
      <w:pPr>
        <w:ind w:left="1800" w:firstLine="1440"/>
      </w:pPr>
      <w:rPr>
        <w:sz w:val="18"/>
        <w:szCs w:val="18"/>
      </w:rPr>
    </w:lvl>
    <w:lvl w:ilvl="4">
      <w:start w:val="1"/>
      <w:numFmt w:val="bullet"/>
      <w:lvlText w:val="◦"/>
      <w:lvlJc w:val="left"/>
      <w:pPr>
        <w:ind w:left="2160" w:firstLine="1800"/>
      </w:pPr>
      <w:rPr>
        <w:sz w:val="18"/>
        <w:szCs w:val="18"/>
      </w:rPr>
    </w:lvl>
    <w:lvl w:ilvl="5">
      <w:start w:val="1"/>
      <w:numFmt w:val="bullet"/>
      <w:lvlText w:val="▪"/>
      <w:lvlJc w:val="left"/>
      <w:pPr>
        <w:ind w:left="2520" w:firstLine="2160"/>
      </w:pPr>
      <w:rPr>
        <w:sz w:val="18"/>
        <w:szCs w:val="18"/>
      </w:rPr>
    </w:lvl>
    <w:lvl w:ilvl="6">
      <w:start w:val="1"/>
      <w:numFmt w:val="bullet"/>
      <w:lvlText w:val=""/>
      <w:lvlJc w:val="left"/>
      <w:pPr>
        <w:ind w:left="2880" w:firstLine="2520"/>
      </w:pPr>
      <w:rPr>
        <w:sz w:val="18"/>
        <w:szCs w:val="18"/>
      </w:rPr>
    </w:lvl>
    <w:lvl w:ilvl="7">
      <w:start w:val="1"/>
      <w:numFmt w:val="bullet"/>
      <w:lvlText w:val="◦"/>
      <w:lvlJc w:val="left"/>
      <w:pPr>
        <w:ind w:left="3240" w:firstLine="2880"/>
      </w:pPr>
      <w:rPr>
        <w:sz w:val="18"/>
        <w:szCs w:val="18"/>
      </w:rPr>
    </w:lvl>
    <w:lvl w:ilvl="8">
      <w:start w:val="1"/>
      <w:numFmt w:val="bullet"/>
      <w:lvlText w:val="▪"/>
      <w:lvlJc w:val="left"/>
      <w:pPr>
        <w:ind w:left="3600" w:firstLine="3240"/>
      </w:pPr>
      <w:rPr>
        <w:sz w:val="18"/>
        <w:szCs w:val="18"/>
      </w:rPr>
    </w:lvl>
  </w:abstractNum>
  <w:abstractNum w:abstractNumId="2">
    <w:lvl w:ilvl="0">
      <w:start w:val="1"/>
      <w:numFmt w:val="bullet"/>
      <w:lvlText w:val=""/>
      <w:lvlJc w:val="left"/>
      <w:pPr>
        <w:ind w:left="720" w:firstLine="360"/>
      </w:pPr>
      <w:rPr>
        <w:sz w:val="18"/>
        <w:szCs w:val="18"/>
      </w:rPr>
    </w:lvl>
    <w:lvl w:ilvl="1">
      <w:start w:val="1"/>
      <w:numFmt w:val="bullet"/>
      <w:lvlText w:val="◦"/>
      <w:lvlJc w:val="left"/>
      <w:pPr>
        <w:ind w:left="1080" w:firstLine="720"/>
      </w:pPr>
      <w:rPr>
        <w:sz w:val="18"/>
        <w:szCs w:val="18"/>
      </w:rPr>
    </w:lvl>
    <w:lvl w:ilvl="2">
      <w:start w:val="1"/>
      <w:numFmt w:val="bullet"/>
      <w:lvlText w:val="▪"/>
      <w:lvlJc w:val="left"/>
      <w:pPr>
        <w:ind w:left="1440" w:firstLine="1080"/>
      </w:pPr>
      <w:rPr>
        <w:sz w:val="18"/>
        <w:szCs w:val="18"/>
      </w:rPr>
    </w:lvl>
    <w:lvl w:ilvl="3">
      <w:start w:val="1"/>
      <w:numFmt w:val="bullet"/>
      <w:lvlText w:val=""/>
      <w:lvlJc w:val="left"/>
      <w:pPr>
        <w:ind w:left="1800" w:firstLine="1440"/>
      </w:pPr>
      <w:rPr>
        <w:sz w:val="18"/>
        <w:szCs w:val="18"/>
      </w:rPr>
    </w:lvl>
    <w:lvl w:ilvl="4">
      <w:start w:val="1"/>
      <w:numFmt w:val="bullet"/>
      <w:lvlText w:val="◦"/>
      <w:lvlJc w:val="left"/>
      <w:pPr>
        <w:ind w:left="2160" w:firstLine="1800"/>
      </w:pPr>
      <w:rPr>
        <w:sz w:val="18"/>
        <w:szCs w:val="18"/>
      </w:rPr>
    </w:lvl>
    <w:lvl w:ilvl="5">
      <w:start w:val="1"/>
      <w:numFmt w:val="bullet"/>
      <w:lvlText w:val="▪"/>
      <w:lvlJc w:val="left"/>
      <w:pPr>
        <w:ind w:left="2520" w:firstLine="2160"/>
      </w:pPr>
      <w:rPr>
        <w:sz w:val="18"/>
        <w:szCs w:val="18"/>
      </w:rPr>
    </w:lvl>
    <w:lvl w:ilvl="6">
      <w:start w:val="1"/>
      <w:numFmt w:val="bullet"/>
      <w:lvlText w:val=""/>
      <w:lvlJc w:val="left"/>
      <w:pPr>
        <w:ind w:left="2880" w:firstLine="2520"/>
      </w:pPr>
      <w:rPr>
        <w:sz w:val="18"/>
        <w:szCs w:val="18"/>
      </w:rPr>
    </w:lvl>
    <w:lvl w:ilvl="7">
      <w:start w:val="1"/>
      <w:numFmt w:val="bullet"/>
      <w:lvlText w:val="◦"/>
      <w:lvlJc w:val="left"/>
      <w:pPr>
        <w:ind w:left="3240" w:firstLine="2880"/>
      </w:pPr>
      <w:rPr>
        <w:sz w:val="18"/>
        <w:szCs w:val="18"/>
      </w:rPr>
    </w:lvl>
    <w:lvl w:ilvl="8">
      <w:start w:val="1"/>
      <w:numFmt w:val="bullet"/>
      <w:lvlText w:val="▪"/>
      <w:lvlJc w:val="left"/>
      <w:pPr>
        <w:ind w:left="3600" w:firstLine="3240"/>
      </w:pPr>
      <w:rPr>
        <w:sz w:val="18"/>
        <w:szCs w:val="18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sz w:val="24"/>
        <w:szCs w:val="24"/>
        <w:lang w:val="it-IT"/>
      </w:rPr>
    </w:rPrDefault>
    <w:pPrDefault>
      <w:pPr>
        <w:keepNext w:val="1"/>
        <w:widowControl w:val="0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20" w:before="240" w:line="240" w:lineRule="auto"/>
      <w:ind w:left="432" w:right="0" w:hanging="432"/>
      <w:jc w:val="left"/>
    </w:pPr>
    <w:rPr>
      <w:rFonts w:ascii="Arial" w:cs="Arial" w:eastAsia="Arial" w:hAnsi="Arial"/>
      <w:b w:val="1"/>
      <w:i w:val="0"/>
      <w:smallCaps w:val="0"/>
      <w:strike w:val="0"/>
      <w:color w:val="000000"/>
      <w:sz w:val="32"/>
      <w:szCs w:val="32"/>
      <w:u w:val="none"/>
      <w:shd w:fill="auto" w:val="clear"/>
      <w:vertAlign w:val="baseline"/>
    </w:rPr>
  </w:style>
  <w:style w:type="paragraph" w:styleId="Heading2">
    <w:name w:val="heading 2"/>
    <w:basedOn w:val="Normal"/>
    <w:next w:val="Normal"/>
    <w:pPr>
      <w:keepNext w:val="1"/>
      <w:keepLines w:val="1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20" w:before="240" w:line="240" w:lineRule="auto"/>
      <w:ind w:left="576" w:right="0" w:hanging="576"/>
      <w:jc w:val="left"/>
    </w:pPr>
    <w:rPr>
      <w:rFonts w:ascii="Arial" w:cs="Arial" w:eastAsia="Arial" w:hAnsi="Arial"/>
      <w:b w:val="1"/>
      <w:i w:val="1"/>
      <w:smallCaps w:val="0"/>
      <w:strike w:val="0"/>
      <w:color w:val="000000"/>
      <w:sz w:val="28"/>
      <w:szCs w:val="28"/>
      <w:u w:val="none"/>
      <w:shd w:fill="auto" w:val="clear"/>
      <w:vertAlign w:val="baseline"/>
    </w:rPr>
  </w:style>
  <w:style w:type="paragraph" w:styleId="Heading3">
    <w:name w:val="heading 3"/>
    <w:basedOn w:val="Normal"/>
    <w:next w:val="Normal"/>
    <w:pPr>
      <w:keepNext w:val="1"/>
      <w:keepLines w:val="1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20" w:before="240" w:line="240" w:lineRule="auto"/>
      <w:ind w:left="720" w:right="0" w:hanging="720"/>
      <w:jc w:val="left"/>
    </w:pPr>
    <w:rPr>
      <w:rFonts w:ascii="Arial" w:cs="Arial" w:eastAsia="Arial" w:hAnsi="Arial"/>
      <w:b w:val="1"/>
      <w:i w:val="0"/>
      <w:smallCaps w:val="0"/>
      <w:strike w:val="0"/>
      <w:color w:val="000000"/>
      <w:sz w:val="28"/>
      <w:szCs w:val="28"/>
      <w:u w:val="none"/>
      <w:shd w:fill="auto" w:val="clear"/>
      <w:vertAlign w:val="baseline"/>
    </w:rPr>
  </w:style>
  <w:style w:type="paragraph" w:styleId="Heading4">
    <w:name w:val="heading 4"/>
    <w:basedOn w:val="Normal"/>
    <w:next w:val="Normal"/>
    <w:pPr>
      <w:keepNext w:val="1"/>
      <w:keepLines w:val="1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40" w:line="240" w:lineRule="auto"/>
      <w:ind w:left="864" w:right="0" w:hanging="864"/>
      <w:jc w:val="left"/>
    </w:pPr>
    <w:rPr>
      <w:rFonts w:ascii="Times New Roman" w:cs="Times New Roman" w:eastAsia="Times New Roman" w:hAnsi="Times New Roman"/>
      <w:b w:val="1"/>
      <w:i w:val="0"/>
      <w:smallCaps w:val="0"/>
      <w:strike w:val="0"/>
      <w:color w:val="000000"/>
      <w:sz w:val="24"/>
      <w:szCs w:val="24"/>
      <w:u w:val="none"/>
      <w:shd w:fill="auto" w:val="clear"/>
      <w:vertAlign w:val="baseline"/>
    </w:rPr>
  </w:style>
  <w:style w:type="paragraph" w:styleId="Heading5">
    <w:name w:val="heading 5"/>
    <w:basedOn w:val="Normal"/>
    <w:next w:val="Normal"/>
    <w:pPr>
      <w:keepNext w:val="1"/>
      <w:keepLines w:val="1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20" w:line="240" w:lineRule="auto"/>
      <w:ind w:left="1008" w:right="0" w:hanging="1008"/>
      <w:jc w:val="left"/>
    </w:pPr>
    <w:rPr>
      <w:rFonts w:ascii="Times New Roman" w:cs="Times New Roman" w:eastAsia="Times New Roman" w:hAnsi="Times New Roman"/>
      <w:b w:val="1"/>
      <w:i w:val="0"/>
      <w:smallCaps w:val="0"/>
      <w:strike w:val="0"/>
      <w:color w:val="000000"/>
      <w:sz w:val="22"/>
      <w:szCs w:val="22"/>
      <w:u w:val="none"/>
      <w:shd w:fill="auto" w:val="clear"/>
      <w:vertAlign w:val="baseline"/>
    </w:rPr>
  </w:style>
  <w:style w:type="paragraph" w:styleId="Heading6">
    <w:name w:val="heading 6"/>
    <w:basedOn w:val="Normal"/>
    <w:next w:val="Normal"/>
    <w:pPr>
      <w:keepNext w:val="1"/>
      <w:keepLines w:val="1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00" w:line="240" w:lineRule="auto"/>
      <w:ind w:left="1152" w:right="0" w:hanging="1152"/>
      <w:jc w:val="left"/>
    </w:pPr>
    <w:rPr>
      <w:rFonts w:ascii="Times New Roman" w:cs="Times New Roman" w:eastAsia="Times New Roman" w:hAnsi="Times New Roman"/>
      <w:b w:val="1"/>
      <w:i w:val="0"/>
      <w:smallCaps w:val="0"/>
      <w:strike w:val="0"/>
      <w:color w:val="000000"/>
      <w:sz w:val="20"/>
      <w:szCs w:val="20"/>
      <w:u w:val="none"/>
      <w:shd w:fill="auto" w:val="clear"/>
      <w:vertAlign w:val="baseline"/>
    </w:rPr>
  </w:style>
  <w:style w:type="paragraph" w:styleId="Title">
    <w:name w:val="Title"/>
    <w:basedOn w:val="Normal"/>
    <w:next w:val="Normal"/>
    <w:pPr>
      <w:keepNext w:val="1"/>
      <w:keepLines w:val="1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20" w:before="480" w:line="240" w:lineRule="auto"/>
      <w:ind w:left="0" w:right="0" w:firstLine="0"/>
      <w:jc w:val="left"/>
    </w:pPr>
    <w:rPr>
      <w:rFonts w:ascii="Times New Roman" w:cs="Times New Roman" w:eastAsia="Times New Roman" w:hAnsi="Times New Roman"/>
      <w:b w:val="1"/>
      <w:i w:val="0"/>
      <w:smallCaps w:val="0"/>
      <w:strike w:val="0"/>
      <w:color w:val="000000"/>
      <w:sz w:val="72"/>
      <w:szCs w:val="72"/>
      <w:u w:val="none"/>
      <w:shd w:fill="auto" w:val="clear"/>
      <w:vertAlign w:val="baseline"/>
    </w:rPr>
  </w:style>
  <w:style w:type="paragraph" w:styleId="Subtitle">
    <w:name w:val="Subtitle"/>
    <w:basedOn w:val="Normal"/>
    <w:next w:val="Normal"/>
    <w:pPr>
      <w:keepNext w:val="1"/>
      <w:keepLines w:val="1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360" w:line="240" w:lineRule="auto"/>
      <w:ind w:left="0" w:right="0" w:firstLine="0"/>
      <w:jc w:val="left"/>
    </w:pPr>
    <w:rPr>
      <w:rFonts w:ascii="Georgia" w:cs="Georgia" w:eastAsia="Georgia" w:hAnsi="Georgia"/>
      <w:b w:val="0"/>
      <w:i w:val="1"/>
      <w:smallCaps w:val="0"/>
      <w:strike w:val="0"/>
      <w:color w:val="666666"/>
      <w:sz w:val="48"/>
      <w:szCs w:val="48"/>
      <w:u w:val="none"/>
      <w:shd w:fill="auto" w:val="clear"/>
      <w:vertAlign w:val="baseline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65.0" w:type="dxa"/>
        <w:bottom w:w="0.0" w:type="dxa"/>
        <w:right w:w="7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hyperlink" Target="mailto:anticorruzione@arpa.emr.it" TargetMode="External"/><Relationship Id="rId7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Garamond-regular.ttf"/><Relationship Id="rId2" Type="http://schemas.openxmlformats.org/officeDocument/2006/relationships/font" Target="fonts/Garamond-bold.ttf"/><Relationship Id="rId3" Type="http://schemas.openxmlformats.org/officeDocument/2006/relationships/font" Target="fonts/Garamond-italic.ttf"/><Relationship Id="rId4" Type="http://schemas.openxmlformats.org/officeDocument/2006/relationships/font" Target="fonts/Garamond-boldItalic.ttf"/><Relationship Id="rId5" Type="http://schemas.openxmlformats.org/officeDocument/2006/relationships/font" Target="fonts/Tahoma-regular.ttf"/><Relationship Id="rId6" Type="http://schemas.openxmlformats.org/officeDocument/2006/relationships/font" Target="fonts/Tahoma-bold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