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ageBreakBefore w:val="0"/>
        <w:widowControl w:val="0"/>
        <w:spacing w:line="276" w:lineRule="auto"/>
        <w:rPr/>
      </w:pPr>
      <w:r w:rsidDel="00000000" w:rsidR="00000000" w:rsidRPr="00000000">
        <w:rPr>
          <w:rtl w:val="0"/>
        </w:rPr>
      </w:r>
    </w:p>
    <w:tbl>
      <w:tblPr>
        <w:tblStyle w:val="Table1"/>
        <w:tblW w:w="9615.0" w:type="dxa"/>
        <w:jc w:val="left"/>
        <w:tblInd w:w="70.0" w:type="dxa"/>
        <w:tblBorders>
          <w:top w:color="000000" w:space="0" w:sz="4" w:val="single"/>
          <w:left w:color="000000" w:space="0" w:sz="4" w:val="single"/>
          <w:bottom w:color="000000" w:space="0" w:sz="4" w:val="single"/>
          <w:insideH w:color="000000" w:space="0" w:sz="4" w:val="single"/>
        </w:tblBorders>
        <w:tblLayout w:type="fixed"/>
        <w:tblLook w:val="0000"/>
      </w:tblPr>
      <w:tblGrid>
        <w:gridCol w:w="7290"/>
        <w:gridCol w:w="2325"/>
        <w:tblGridChange w:id="0">
          <w:tblGrid>
            <w:gridCol w:w="7290"/>
            <w:gridCol w:w="2325"/>
          </w:tblGrid>
        </w:tblGridChange>
      </w:tblGrid>
      <w:tr>
        <w:trPr>
          <w:cantSplit w:val="0"/>
          <w:trHeight w:val="510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left w:w="65.0" w:type="dxa"/>
            </w:tcMar>
          </w:tcPr>
          <w:p w:rsidR="00000000" w:rsidDel="00000000" w:rsidP="00000000" w:rsidRDefault="00000000" w:rsidRPr="00000000" w14:paraId="00000002">
            <w:pPr>
              <w:keepNext w:val="1"/>
              <w:pageBreakBefore w:val="0"/>
              <w:widowControl w:val="0"/>
              <w:tabs>
                <w:tab w:val="center" w:pos="4819"/>
                <w:tab w:val="right" w:pos="9638"/>
              </w:tabs>
              <w:spacing w:line="240" w:lineRule="auto"/>
              <w:jc w:val="center"/>
              <w:rPr>
                <w:rFonts w:ascii="Tahoma" w:cs="Tahoma" w:eastAsia="Tahoma" w:hAnsi="Tahoma"/>
                <w:b w:val="1"/>
                <w:color w:val="1f497d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3">
            <w:pPr>
              <w:keepNext w:val="1"/>
              <w:pageBreakBefore w:val="0"/>
              <w:widowControl w:val="0"/>
              <w:tabs>
                <w:tab w:val="center" w:pos="4819"/>
                <w:tab w:val="right" w:pos="9638"/>
              </w:tabs>
              <w:spacing w:line="240" w:lineRule="auto"/>
              <w:jc w:val="center"/>
              <w:rPr>
                <w:rFonts w:ascii="Tahoma" w:cs="Tahoma" w:eastAsia="Tahoma" w:hAnsi="Tahoma"/>
                <w:b w:val="1"/>
                <w:color w:val="1f497d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color w:val="1f497d"/>
                <w:sz w:val="20"/>
                <w:szCs w:val="20"/>
                <w:rtl w:val="0"/>
              </w:rPr>
              <w:t xml:space="preserve"> PATTO D'INTEGRITA' PER IL NOLEGGIO DI DUE STRUMENTI PER LA MISURA DELLA DISTRIBUZIONE DIMENSIONALE DELL'AEROSOL ATMOSFERICO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65.0" w:type="dxa"/>
            </w:tcMar>
          </w:tcPr>
          <w:p w:rsidR="00000000" w:rsidDel="00000000" w:rsidP="00000000" w:rsidRDefault="00000000" w:rsidRPr="00000000" w14:paraId="00000004">
            <w:pPr>
              <w:keepNext w:val="1"/>
              <w:pageBreakBefore w:val="0"/>
              <w:widowControl w:val="0"/>
              <w:tabs>
                <w:tab w:val="center" w:pos="4819"/>
                <w:tab w:val="right" w:pos="9638"/>
              </w:tabs>
              <w:spacing w:line="240" w:lineRule="auto"/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keepNext w:val="1"/>
              <w:pageBreakBefore w:val="0"/>
              <w:widowControl w:val="0"/>
              <w:tabs>
                <w:tab w:val="center" w:pos="4819"/>
                <w:tab w:val="right" w:pos="9638"/>
              </w:tabs>
              <w:spacing w:line="240" w:lineRule="auto"/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Allegato  9</w:t>
            </w:r>
          </w:p>
        </w:tc>
      </w:tr>
      <w:tr>
        <w:trPr>
          <w:cantSplit w:val="0"/>
          <w:trHeight w:val="600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left w:w="65.0" w:type="dxa"/>
            </w:tcMar>
          </w:tcPr>
          <w:p w:rsidR="00000000" w:rsidDel="00000000" w:rsidP="00000000" w:rsidRDefault="00000000" w:rsidRPr="00000000" w14:paraId="00000006">
            <w:pPr>
              <w:pageBreakBefore w:val="0"/>
              <w:widowControl w:val="0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65.0" w:type="dxa"/>
            </w:tcMar>
          </w:tcPr>
          <w:p w:rsidR="00000000" w:rsidDel="00000000" w:rsidP="00000000" w:rsidRDefault="00000000" w:rsidRPr="00000000" w14:paraId="00000007">
            <w:pPr>
              <w:keepNext w:val="1"/>
              <w:pageBreakBefore w:val="0"/>
              <w:widowControl w:val="0"/>
              <w:tabs>
                <w:tab w:val="center" w:pos="4819"/>
                <w:tab w:val="right" w:pos="9638"/>
              </w:tabs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Pagina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 di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</w:p>
        </w:tc>
      </w:tr>
    </w:tbl>
    <w:p w:rsidR="00000000" w:rsidDel="00000000" w:rsidP="00000000" w:rsidRDefault="00000000" w:rsidRPr="00000000" w14:paraId="00000008">
      <w:pPr>
        <w:keepNext w:val="1"/>
        <w:pageBreakBefore w:val="0"/>
        <w:widowControl w:val="0"/>
        <w:spacing w:line="314" w:lineRule="auto"/>
        <w:ind w:left="277" w:right="263" w:firstLine="0"/>
        <w:jc w:val="center"/>
        <w:rPr>
          <w:rFonts w:ascii="Garamond" w:cs="Garamond" w:eastAsia="Garamond" w:hAnsi="Garamond"/>
          <w:b w:val="1"/>
          <w:color w:val="1f497d"/>
          <w:sz w:val="20"/>
          <w:szCs w:val="20"/>
        </w:rPr>
      </w:pPr>
      <w:r w:rsidDel="00000000" w:rsidR="00000000" w:rsidRPr="00000000">
        <w:rPr>
          <w:rFonts w:ascii="Garamond" w:cs="Garamond" w:eastAsia="Garamond" w:hAnsi="Garamond"/>
          <w:b w:val="1"/>
          <w:color w:val="1f497d"/>
          <w:sz w:val="20"/>
          <w:szCs w:val="20"/>
          <w:rtl w:val="0"/>
        </w:rPr>
        <w:tab/>
        <w:tab/>
      </w:r>
    </w:p>
    <w:p w:rsidR="00000000" w:rsidDel="00000000" w:rsidP="00000000" w:rsidRDefault="00000000" w:rsidRPr="00000000" w14:paraId="00000009">
      <w:pPr>
        <w:keepNext w:val="1"/>
        <w:pageBreakBefore w:val="0"/>
        <w:widowControl w:val="0"/>
        <w:spacing w:line="240" w:lineRule="auto"/>
        <w:ind w:left="6" w:right="7.204724409448886" w:firstLine="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Questo documento costituisce parte integrante del bando relativo al servizio di noleggio di due strumenti per la misura della distribuzione dimensionale dell’aerosol atmosferico da prestare a favore dell'amministrazione contraente: Agenzia Regionale per la prevenzione, l’ambiente e l'energia dell’Emilia-Romagna (Arpae).</w:t>
      </w:r>
    </w:p>
    <w:p w:rsidR="00000000" w:rsidDel="00000000" w:rsidP="00000000" w:rsidRDefault="00000000" w:rsidRPr="00000000" w14:paraId="0000000A">
      <w:pPr>
        <w:keepNext w:val="1"/>
        <w:pageBreakBefore w:val="0"/>
        <w:widowControl w:val="0"/>
        <w:spacing w:after="142" w:before="37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Questo Patto d'Integrità stabilisce la reciproca, formale obbligazione dell'Agenzia Regionale per la Prevenzione, l'Ambiente e l'Energia dell'Emilia-Romagna (di seguito Arpae), quale stazione appaltante e delle imprese concorrenti di conformare i propri comportamenti ai principi di lealtà, trasparenza e correttezza nonché l'espresso impegno anti-corruzione, di non offrire, accettare o richiedere somme di denaro o qualsiasi altra ricompensa, vantaggio o beneficio, sia direttamente che indirettamente tramite intermediari, al fine dell'assegnazione dell'appalto. </w:t>
        <w:br w:type="textWrapping"/>
        <w:t xml:space="preserve">Il personale e i collaboratori di Arpae e delle Imprese concorrenti, sono consapevoli del presente Patto d'Integrità, il cui spirito condividono pienamente, nonché delle sanzioni previste a loro carico in caso di mancato rispetto di questo Patto.</w:t>
      </w:r>
    </w:p>
    <w:p w:rsidR="00000000" w:rsidDel="00000000" w:rsidP="00000000" w:rsidRDefault="00000000" w:rsidRPr="00000000" w14:paraId="0000000B">
      <w:pPr>
        <w:keepNext w:val="1"/>
        <w:pageBreakBefore w:val="0"/>
        <w:widowControl w:val="0"/>
        <w:spacing w:before="95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Il Fornitore in particolare dichiara:</w:t>
      </w:r>
    </w:p>
    <w:p w:rsidR="00000000" w:rsidDel="00000000" w:rsidP="00000000" w:rsidRDefault="00000000" w:rsidRPr="00000000" w14:paraId="0000000C">
      <w:pPr>
        <w:keepNext w:val="1"/>
        <w:pageBreakBefore w:val="0"/>
        <w:widowControl w:val="0"/>
        <w:numPr>
          <w:ilvl w:val="0"/>
          <w:numId w:val="1"/>
        </w:numPr>
        <w:spacing w:before="95" w:line="240" w:lineRule="auto"/>
        <w:ind w:left="72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di impegnarsi a rispettare tutte le previsioni contenute nel disciplinare di gara e suoi allegati;</w:t>
      </w:r>
    </w:p>
    <w:p w:rsidR="00000000" w:rsidDel="00000000" w:rsidP="00000000" w:rsidRDefault="00000000" w:rsidRPr="00000000" w14:paraId="0000000D">
      <w:pPr>
        <w:keepNext w:val="1"/>
        <w:pageBreakBefore w:val="0"/>
        <w:widowControl w:val="0"/>
        <w:numPr>
          <w:ilvl w:val="0"/>
          <w:numId w:val="1"/>
        </w:numPr>
        <w:spacing w:line="240" w:lineRule="auto"/>
        <w:ind w:left="72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di impegnarsi, qualora partecipi alla procedura di acquisto contemporaneamente ad altro/i soggetto/i rispetto al/i quale/i si trovi in una situazione di controllo di cui all'art. 2359 del codice civile, ad indicare ad Arpae quale/i sia/no tale/i soggetto/i, dichiarando di aver formulato autonomamente l'offerta e allegando documentazione idonea a dimostrare che la situazione di controllo non ha influito sulla formulazione dell'offerta;</w:t>
      </w:r>
    </w:p>
    <w:p w:rsidR="00000000" w:rsidDel="00000000" w:rsidP="00000000" w:rsidRDefault="00000000" w:rsidRPr="00000000" w14:paraId="0000000E">
      <w:pPr>
        <w:keepNext w:val="1"/>
        <w:pageBreakBefore w:val="0"/>
        <w:widowControl w:val="0"/>
        <w:numPr>
          <w:ilvl w:val="0"/>
          <w:numId w:val="1"/>
        </w:numPr>
        <w:spacing w:line="240" w:lineRule="auto"/>
        <w:ind w:left="72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che non ha concluso né concluderà con altri operatori economici alcun tipo di accordo volto ad alterare o limitare la concorrenza, ovvero a determinare un unico centro decisionale ai fini della partecipazione alla gara e nella formulazione dell'offerta;</w:t>
      </w:r>
    </w:p>
    <w:p w:rsidR="00000000" w:rsidDel="00000000" w:rsidP="00000000" w:rsidRDefault="00000000" w:rsidRPr="00000000" w14:paraId="0000000F">
      <w:pPr>
        <w:keepNext w:val="1"/>
        <w:pageBreakBefore w:val="0"/>
        <w:widowControl w:val="0"/>
        <w:numPr>
          <w:ilvl w:val="0"/>
          <w:numId w:val="1"/>
        </w:numPr>
        <w:spacing w:line="240" w:lineRule="auto"/>
        <w:ind w:left="72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di impegnarsi a segnalare ad Arpae, all'indirizzo: </w:t>
      </w:r>
      <w:hyperlink r:id="rId6">
        <w:r w:rsidDel="00000000" w:rsidR="00000000" w:rsidRPr="00000000">
          <w:rPr>
            <w:rFonts w:ascii="Tahoma" w:cs="Tahoma" w:eastAsia="Tahoma" w:hAnsi="Tahoma"/>
            <w:color w:val="000080"/>
            <w:sz w:val="20"/>
            <w:szCs w:val="20"/>
            <w:u w:val="single"/>
            <w:rtl w:val="0"/>
          </w:rPr>
          <w:t xml:space="preserve">anticorruzione@arpa.emr.it</w:t>
        </w:r>
      </w:hyperlink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 qualsiasi tentativo di turbativa, irregolarità o distorsione nelle fasi di svolgimento della procedura di gara e/o durante l'esecuzione dei contratti, da parte di ogni interessato o addetto o di chiunque possa influenzare le decisioni relative alla gara in oggetto.</w:t>
      </w:r>
    </w:p>
    <w:p w:rsidR="00000000" w:rsidDel="00000000" w:rsidP="00000000" w:rsidRDefault="00000000" w:rsidRPr="00000000" w14:paraId="00000010">
      <w:pPr>
        <w:keepNext w:val="1"/>
        <w:pageBreakBefore w:val="0"/>
        <w:widowControl w:val="0"/>
        <w:spacing w:before="95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Il Fornitore prende nota ed accetta che nel caso di mancato rispetto degli impegni anticorruzione assunti con questo Patto d'Integrità comunque accettato da Arpae, potranno essere applicate le seguenti sanzioni:</w:t>
      </w:r>
    </w:p>
    <w:p w:rsidR="00000000" w:rsidDel="00000000" w:rsidP="00000000" w:rsidRDefault="00000000" w:rsidRPr="00000000" w14:paraId="00000011">
      <w:pPr>
        <w:keepNext w:val="1"/>
        <w:pageBreakBefore w:val="0"/>
        <w:widowControl w:val="0"/>
        <w:numPr>
          <w:ilvl w:val="0"/>
          <w:numId w:val="2"/>
        </w:numPr>
        <w:spacing w:before="95" w:line="240" w:lineRule="auto"/>
        <w:ind w:left="72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esclusione dalla procedura di gara ed escussione della cauzione provvisoria, fatto salvo il risarcimento per maggior danno;</w:t>
      </w:r>
    </w:p>
    <w:p w:rsidR="00000000" w:rsidDel="00000000" w:rsidP="00000000" w:rsidRDefault="00000000" w:rsidRPr="00000000" w14:paraId="00000012">
      <w:pPr>
        <w:keepNext w:val="1"/>
        <w:pageBreakBefore w:val="0"/>
        <w:widowControl w:val="0"/>
        <w:numPr>
          <w:ilvl w:val="0"/>
          <w:numId w:val="2"/>
        </w:numPr>
        <w:spacing w:line="240" w:lineRule="auto"/>
        <w:ind w:left="72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risoluzione del contratto, fatto salvo il risarcimento per maggior danno.</w:t>
      </w:r>
    </w:p>
    <w:p w:rsidR="00000000" w:rsidDel="00000000" w:rsidP="00000000" w:rsidRDefault="00000000" w:rsidRPr="00000000" w14:paraId="00000013">
      <w:pPr>
        <w:keepNext w:val="1"/>
        <w:pageBreakBefore w:val="0"/>
        <w:widowControl w:val="0"/>
        <w:spacing w:before="95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Il presente Patto d'Integrità e le relative sanzioni applicabili resteranno in vigore sino alla completa esecuzione del  contratto che verrà sottoscritto con il soggetto aggiudicatario .</w:t>
      </w:r>
    </w:p>
    <w:p w:rsidR="00000000" w:rsidDel="00000000" w:rsidP="00000000" w:rsidRDefault="00000000" w:rsidRPr="00000000" w14:paraId="00000014">
      <w:pPr>
        <w:keepNext w:val="1"/>
        <w:pageBreakBefore w:val="0"/>
        <w:widowControl w:val="0"/>
        <w:spacing w:before="95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Ogni controversia relativa all'interpretazione ed esecuzione del presente Patto d'Integrità  sarà risolta dall'Autorità Giudiziaria del Foro di Bologna. </w:t>
      </w:r>
    </w:p>
    <w:p w:rsidR="00000000" w:rsidDel="00000000" w:rsidP="00000000" w:rsidRDefault="00000000" w:rsidRPr="00000000" w14:paraId="00000015">
      <w:pPr>
        <w:keepNext w:val="1"/>
        <w:pageBreakBefore w:val="0"/>
        <w:widowControl w:val="0"/>
        <w:spacing w:before="95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1"/>
        <w:pageBreakBefore w:val="0"/>
        <w:widowControl w:val="0"/>
        <w:spacing w:before="95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Firmato digitalmente dal legale rappresentante </w:t>
        <w:tab/>
        <w:tab/>
        <w:tab/>
        <w:tab/>
        <w:t xml:space="preserve">_____________________________  </w:t>
      </w:r>
    </w:p>
    <w:p w:rsidR="00000000" w:rsidDel="00000000" w:rsidP="00000000" w:rsidRDefault="00000000" w:rsidRPr="00000000" w14:paraId="00000017">
      <w:pPr>
        <w:pageBreakBefore w:val="0"/>
        <w:rPr/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  <w:font w:name="Garamon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ahoma">
    <w:embedRegular w:fontKey="{00000000-0000-0000-0000-000000000000}" r:id="rId5" w:subsetted="0"/>
    <w:embedBold w:fontKey="{00000000-0000-0000-0000-000000000000}" r:id="rId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it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65.0" w:type="dxa"/>
        <w:bottom w:w="0.0" w:type="dxa"/>
        <w:right w:w="7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yperlink" Target="mailto:anticorruzione@arpa.emr.it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Garamond-regular.ttf"/><Relationship Id="rId2" Type="http://schemas.openxmlformats.org/officeDocument/2006/relationships/font" Target="fonts/Garamond-bold.ttf"/><Relationship Id="rId3" Type="http://schemas.openxmlformats.org/officeDocument/2006/relationships/font" Target="fonts/Garamond-italic.ttf"/><Relationship Id="rId4" Type="http://schemas.openxmlformats.org/officeDocument/2006/relationships/font" Target="fonts/Garamond-boldItalic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