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manifestazione di interesse all'affidamento mediante procedura negoziata senza bando,  ai sensi dell’ art. 50, comma 1, lett. e) del D. lgs. 36/2023, della fornitura di 7 sistemi di campionamento ad alto volume di microinquinanti organici aerodispersi, da espletarsi mediante rdo sul mercato elettronico della pubblica amministrazione (mepa), in risposta all’avviso pubblicato sul sito web dell’agenzia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data 04/12/2023.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9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B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oggetto e </w:t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 regolarmente eseguito nell'ultimo triennio, </w:t>
      </w:r>
      <w:r w:rsidDel="00000000" w:rsidR="00000000" w:rsidRPr="00000000">
        <w:rPr>
          <w:rFonts w:ascii="Arial" w:cs="Arial" w:eastAsia="Arial" w:hAnsi="Arial"/>
          <w:rtl w:val="0"/>
        </w:rPr>
        <w:t xml:space="preserve">antecedente alla data di scadenza della manifestazione di interesse,</w:t>
      </w:r>
      <w:r w:rsidDel="00000000" w:rsidR="00000000" w:rsidRPr="00000000">
        <w:rPr>
          <w:rFonts w:ascii="Arial" w:cs="Arial" w:eastAsia="Arial" w:hAnsi="Arial"/>
          <w:rtl w:val="0"/>
        </w:rPr>
        <w:t xml:space="preserve"> esperienze pregresse idonee all'esecuzione delle prestazioni contrattuali oggetto di affidamento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andrà dichiarato per ciascun servizio, il committente, l’oggetto, l’importo e la data di inizio e fine dei contratti da indicare nella tabella che segue;</w:t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20" w:before="12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abilitato al bando Beni “Attrezzature per il rilevamento assistenza, manutenzione e riparazione CPV 38344000-8 Apparecchi per il controllo dell'inquinamento” del mercato elettronico della pubblica amministrazione (MEPA) di Consip.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che qualora questa impresa non risultasse abilitata al suddetto bando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la stessa impresa non potrà essere invitata;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della Pubblica Amministrazione (MEPA di Consip)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3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