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widowControl w:val="0"/>
        <w:spacing w:after="60" w:before="60" w:lineRule="auto"/>
        <w:rPr>
          <w:rFonts w:ascii="Titillium" w:cs="Titillium" w:eastAsia="Titillium" w:hAnsi="Titillium"/>
          <w:b w:val="1"/>
          <w:sz w:val="36"/>
          <w:szCs w:val="36"/>
        </w:rPr>
      </w:pPr>
      <w:r w:rsidDel="00000000" w:rsidR="00000000" w:rsidRPr="00000000">
        <w:rPr>
          <w:rtl w:val="0"/>
        </w:rPr>
      </w:r>
    </w:p>
    <w:p w:rsidR="00000000" w:rsidDel="00000000" w:rsidP="00000000" w:rsidRDefault="00000000" w:rsidRPr="00000000" w14:paraId="00000002">
      <w:pPr>
        <w:widowControl w:val="0"/>
        <w:spacing w:after="60" w:before="60" w:lineRule="auto"/>
        <w:jc w:val="center"/>
        <w:rPr>
          <w:rFonts w:ascii="Titillium" w:cs="Titillium" w:eastAsia="Titillium" w:hAnsi="Titillium"/>
          <w:b w:val="1"/>
          <w:sz w:val="36"/>
          <w:szCs w:val="36"/>
        </w:rPr>
      </w:pPr>
      <w:r w:rsidDel="00000000" w:rsidR="00000000" w:rsidRPr="00000000">
        <w:rPr>
          <w:rtl w:val="0"/>
        </w:rPr>
      </w:r>
    </w:p>
    <w:p w:rsidR="00000000" w:rsidDel="00000000" w:rsidP="00000000" w:rsidRDefault="00000000" w:rsidRPr="00000000" w14:paraId="00000003">
      <w:pPr>
        <w:widowControl w:val="0"/>
        <w:spacing w:after="60" w:before="60" w:lineRule="auto"/>
        <w:jc w:val="center"/>
        <w:rPr>
          <w:rFonts w:ascii="Titillium" w:cs="Titillium" w:eastAsia="Titillium" w:hAnsi="Titillium"/>
          <w:b w:val="1"/>
          <w:sz w:val="36"/>
          <w:szCs w:val="36"/>
        </w:rPr>
      </w:pPr>
      <w:r w:rsidDel="00000000" w:rsidR="00000000" w:rsidRPr="00000000">
        <w:rPr>
          <w:rtl w:val="0"/>
        </w:rPr>
      </w:r>
    </w:p>
    <w:p w:rsidR="00000000" w:rsidDel="00000000" w:rsidP="00000000" w:rsidRDefault="00000000" w:rsidRPr="00000000" w14:paraId="00000004">
      <w:pPr>
        <w:widowControl w:val="0"/>
        <w:spacing w:after="60" w:before="60" w:lineRule="auto"/>
        <w:jc w:val="center"/>
        <w:rPr>
          <w:rFonts w:ascii="Titillium" w:cs="Titillium" w:eastAsia="Titillium" w:hAnsi="Titillium"/>
          <w:b w:val="1"/>
          <w:sz w:val="36"/>
          <w:szCs w:val="36"/>
        </w:rPr>
      </w:pPr>
      <w:r w:rsidDel="00000000" w:rsidR="00000000" w:rsidRPr="00000000">
        <w:rPr>
          <w:rtl w:val="0"/>
        </w:rPr>
      </w:r>
    </w:p>
    <w:p w:rsidR="00000000" w:rsidDel="00000000" w:rsidP="00000000" w:rsidRDefault="00000000" w:rsidRPr="00000000" w14:paraId="00000005">
      <w:pPr>
        <w:widowControl w:val="0"/>
        <w:ind w:left="567" w:firstLine="0"/>
        <w:jc w:val="center"/>
        <w:rPr>
          <w:rFonts w:ascii="Titillium" w:cs="Titillium" w:eastAsia="Titillium" w:hAnsi="Titillium"/>
          <w:b w:val="1"/>
          <w:sz w:val="28"/>
          <w:szCs w:val="28"/>
        </w:rPr>
      </w:pPr>
      <w:r w:rsidDel="00000000" w:rsidR="00000000" w:rsidRPr="00000000">
        <w:rPr>
          <w:rFonts w:ascii="Titillium" w:cs="Titillium" w:eastAsia="Titillium" w:hAnsi="Titillium"/>
          <w:b w:val="1"/>
          <w:sz w:val="28"/>
          <w:szCs w:val="28"/>
          <w:rtl w:val="0"/>
        </w:rPr>
        <w:t xml:space="preserve">Disciplinare di gara</w:t>
      </w:r>
    </w:p>
    <w:p w:rsidR="00000000" w:rsidDel="00000000" w:rsidP="00000000" w:rsidRDefault="00000000" w:rsidRPr="00000000" w14:paraId="00000006">
      <w:pPr>
        <w:widowControl w:val="0"/>
        <w:ind w:left="567" w:firstLine="0"/>
        <w:rPr>
          <w:rFonts w:ascii="Titillium" w:cs="Titillium" w:eastAsia="Titillium" w:hAnsi="Titillium"/>
          <w:b w:val="1"/>
        </w:rPr>
      </w:pPr>
      <w:r w:rsidDel="00000000" w:rsidR="00000000" w:rsidRPr="00000000">
        <w:rPr>
          <w:rtl w:val="0"/>
        </w:rPr>
      </w:r>
    </w:p>
    <w:p w:rsidR="00000000" w:rsidDel="00000000" w:rsidP="00000000" w:rsidRDefault="00000000" w:rsidRPr="00000000" w14:paraId="00000007">
      <w:pPr>
        <w:widowControl w:val="0"/>
        <w:ind w:left="567" w:firstLine="0"/>
        <w:jc w:val="center"/>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Procedura aperta suddivisa in lotti, per la concessione del servizio, a ridotto impatto ambientale, di consegna, installazione e gestione di distributori automatici per bevande calde, fredde e alimenti per le sedi Arpae Emilia-Romagna</w:t>
      </w:r>
    </w:p>
    <w:p w:rsidR="00000000" w:rsidDel="00000000" w:rsidP="00000000" w:rsidRDefault="00000000" w:rsidRPr="00000000" w14:paraId="00000008">
      <w:pPr>
        <w:widowControl w:val="0"/>
        <w:ind w:left="567" w:firstLine="0"/>
        <w:jc w:val="center"/>
        <w:rPr>
          <w:rFonts w:ascii="Titillium" w:cs="Titillium" w:eastAsia="Titillium" w:hAnsi="Titillium"/>
          <w:b w:val="1"/>
        </w:rPr>
      </w:pPr>
      <w:r w:rsidDel="00000000" w:rsidR="00000000" w:rsidRPr="00000000">
        <w:rPr>
          <w:rtl w:val="0"/>
        </w:rPr>
      </w:r>
    </w:p>
    <w:p w:rsidR="00000000" w:rsidDel="00000000" w:rsidP="00000000" w:rsidRDefault="00000000" w:rsidRPr="00000000" w14:paraId="00000009">
      <w:pPr>
        <w:widowControl w:val="0"/>
        <w:spacing w:after="60" w:before="60" w:lineRule="auto"/>
        <w:ind w:left="567" w:firstLine="0"/>
        <w:rPr>
          <w:rFonts w:ascii="Titillium" w:cs="Titillium" w:eastAsia="Titillium" w:hAnsi="Titillium"/>
          <w:b w:val="1"/>
          <w:sz w:val="36"/>
          <w:szCs w:val="36"/>
        </w:rPr>
      </w:pPr>
      <w:r w:rsidDel="00000000" w:rsidR="00000000" w:rsidRPr="00000000">
        <w:rPr>
          <w:rtl w:val="0"/>
        </w:rPr>
      </w:r>
    </w:p>
    <w:p w:rsidR="00000000" w:rsidDel="00000000" w:rsidP="00000000" w:rsidRDefault="00000000" w:rsidRPr="00000000" w14:paraId="0000000A">
      <w:pPr>
        <w:widowControl w:val="0"/>
        <w:spacing w:after="60" w:before="60" w:lineRule="auto"/>
        <w:rPr>
          <w:rFonts w:ascii="Titillium" w:cs="Titillium" w:eastAsia="Titillium" w:hAnsi="Titillium"/>
          <w:b w:val="1"/>
          <w:sz w:val="36"/>
          <w:szCs w:val="36"/>
        </w:rPr>
      </w:pPr>
      <w:r w:rsidDel="00000000" w:rsidR="00000000" w:rsidRPr="00000000">
        <w:rPr>
          <w:rtl w:val="0"/>
        </w:rPr>
      </w:r>
    </w:p>
    <w:p w:rsidR="00000000" w:rsidDel="00000000" w:rsidP="00000000" w:rsidRDefault="00000000" w:rsidRPr="00000000" w14:paraId="0000000B">
      <w:pPr>
        <w:widowControl w:val="0"/>
        <w:spacing w:after="60" w:before="60" w:lineRule="auto"/>
        <w:ind w:firstLine="567"/>
        <w:jc w:val="left"/>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w:t>
      </w:r>
    </w:p>
    <w:p w:rsidR="00000000" w:rsidDel="00000000" w:rsidP="00000000" w:rsidRDefault="00000000" w:rsidRPr="00000000" w14:paraId="0000000C">
      <w:pPr>
        <w:widowControl w:val="0"/>
        <w:spacing w:after="60" w:before="60" w:lineRule="auto"/>
        <w:jc w:val="left"/>
        <w:rPr>
          <w:rFonts w:ascii="Titillium" w:cs="Titillium" w:eastAsia="Titillium" w:hAnsi="Titillium"/>
          <w:b w:val="1"/>
        </w:rPr>
      </w:pPr>
      <w:r w:rsidDel="00000000" w:rsidR="00000000" w:rsidRPr="00000000">
        <w:rPr>
          <w:rFonts w:ascii="Titillium" w:cs="Titillium" w:eastAsia="Titillium" w:hAnsi="Titillium"/>
          <w:sz w:val="18"/>
          <w:szCs w:val="18"/>
          <w:rtl w:val="0"/>
        </w:rPr>
        <w:t xml:space="preserve"> </w:t>
      </w:r>
      <w:r w:rsidDel="00000000" w:rsidR="00000000" w:rsidRPr="00000000">
        <w:br w:type="page"/>
      </w:r>
      <w:r w:rsidDel="00000000" w:rsidR="00000000" w:rsidRPr="00000000">
        <w:rPr>
          <w:rtl w:val="0"/>
        </w:rPr>
      </w:r>
    </w:p>
    <w:p w:rsidR="00000000" w:rsidDel="00000000" w:rsidP="00000000" w:rsidRDefault="00000000" w:rsidRPr="00000000" w14:paraId="0000000D">
      <w:pPr>
        <w:spacing w:line="240" w:lineRule="auto"/>
        <w:jc w:val="left"/>
        <w:rPr>
          <w:rFonts w:ascii="Titillium" w:cs="Titillium" w:eastAsia="Titillium" w:hAnsi="Titillium"/>
          <w:b w:val="1"/>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E">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w:instrText>
            <w:fldChar w:fldCharType="separate"/>
          </w:r>
          <w:hyperlink w:anchor="_4d34og8">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PREMESSE</w:t>
              <w:tab/>
              <w:t xml:space="preserve">4</w:t>
            </w:r>
          </w:hyperlink>
          <w:r w:rsidDel="00000000" w:rsidR="00000000" w:rsidRPr="00000000">
            <w:rPr>
              <w:rtl w:val="0"/>
            </w:rPr>
          </w:r>
        </w:p>
        <w:p w:rsidR="00000000" w:rsidDel="00000000" w:rsidP="00000000" w:rsidRDefault="00000000" w:rsidRPr="00000000" w14:paraId="0000000F">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2s8eyo1">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1 PIATTAFORMA TELEMATICA</w:t>
              <w:tab/>
              <w:t xml:space="preserve">4</w:t>
            </w:r>
          </w:hyperlink>
          <w:r w:rsidDel="00000000" w:rsidR="00000000" w:rsidRPr="00000000">
            <w:rPr>
              <w:rtl w:val="0"/>
            </w:rPr>
          </w:r>
        </w:p>
        <w:p w:rsidR="00000000" w:rsidDel="00000000" w:rsidP="00000000" w:rsidRDefault="00000000" w:rsidRPr="00000000" w14:paraId="00000010">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17dp8vu">
            <w:r w:rsidDel="00000000" w:rsidR="00000000" w:rsidRPr="00000000">
              <w:rPr>
                <w:rFonts w:ascii="Titillium" w:cs="Titillium" w:eastAsia="Titillium" w:hAnsi="Titillium"/>
                <w:b w:val="0"/>
                <w:i w:val="0"/>
                <w:smallCaps w:val="0"/>
                <w:strike w:val="0"/>
                <w:color w:val="000000"/>
                <w:sz w:val="20"/>
                <w:szCs w:val="20"/>
                <w:u w:val="none"/>
                <w:shd w:fill="auto" w:val="clear"/>
                <w:vertAlign w:val="baseline"/>
                <w:rtl w:val="0"/>
              </w:rPr>
              <w:t xml:space="preserve">1.1 LA PIATTAFORMA TELEMATICA DI NEGOZIAZIONE</w:t>
              <w:tab/>
              <w:t xml:space="preserve">4</w:t>
            </w:r>
          </w:hyperlink>
          <w:r w:rsidDel="00000000" w:rsidR="00000000" w:rsidRPr="00000000">
            <w:rPr>
              <w:rtl w:val="0"/>
            </w:rPr>
          </w:r>
        </w:p>
        <w:p w:rsidR="00000000" w:rsidDel="00000000" w:rsidP="00000000" w:rsidRDefault="00000000" w:rsidRPr="00000000" w14:paraId="00000011">
          <w:pPr>
            <w:widowControl w:val="0"/>
            <w:tabs>
              <w:tab w:val="right" w:leader="none" w:pos="12000"/>
            </w:tabs>
            <w:spacing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3rdcrjn">
            <w:r w:rsidDel="00000000" w:rsidR="00000000" w:rsidRPr="00000000">
              <w:rPr>
                <w:rFonts w:ascii="Titillium" w:cs="Titillium" w:eastAsia="Titillium" w:hAnsi="Titillium"/>
                <w:b w:val="0"/>
                <w:i w:val="0"/>
                <w:smallCaps w:val="0"/>
                <w:strike w:val="0"/>
                <w:color w:val="000000"/>
                <w:sz w:val="20"/>
                <w:szCs w:val="20"/>
                <w:u w:val="none"/>
                <w:shd w:fill="auto" w:val="clear"/>
                <w:vertAlign w:val="baseline"/>
                <w:rtl w:val="0"/>
              </w:rPr>
              <w:t xml:space="preserve">1.2 DOTAZIONI TECNICHE</w:t>
              <w:tab/>
              <w:t xml:space="preserve">5</w:t>
            </w:r>
          </w:hyperlink>
          <w:r w:rsidDel="00000000" w:rsidR="00000000" w:rsidRPr="00000000">
            <w:rPr>
              <w:rtl w:val="0"/>
            </w:rPr>
          </w:r>
        </w:p>
        <w:p w:rsidR="00000000" w:rsidDel="00000000" w:rsidP="00000000" w:rsidRDefault="00000000" w:rsidRPr="00000000" w14:paraId="00000012">
          <w:pPr>
            <w:widowControl w:val="0"/>
            <w:tabs>
              <w:tab w:val="right" w:leader="none" w:pos="12000"/>
            </w:tabs>
            <w:spacing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26in1rg">
            <w:r w:rsidDel="00000000" w:rsidR="00000000" w:rsidRPr="00000000">
              <w:rPr>
                <w:rFonts w:ascii="Titillium" w:cs="Titillium" w:eastAsia="Titillium" w:hAnsi="Titillium"/>
                <w:b w:val="0"/>
                <w:i w:val="0"/>
                <w:smallCaps w:val="0"/>
                <w:strike w:val="0"/>
                <w:color w:val="000000"/>
                <w:sz w:val="20"/>
                <w:szCs w:val="20"/>
                <w:u w:val="none"/>
                <w:shd w:fill="auto" w:val="clear"/>
                <w:vertAlign w:val="baseline"/>
                <w:rtl w:val="0"/>
              </w:rPr>
              <w:t xml:space="preserve">1.3 IDENTIFICAZIONE</w:t>
              <w:tab/>
              <w:t xml:space="preserve">5</w:t>
            </w:r>
          </w:hyperlink>
          <w:r w:rsidDel="00000000" w:rsidR="00000000" w:rsidRPr="00000000">
            <w:rPr>
              <w:rtl w:val="0"/>
            </w:rPr>
          </w:r>
        </w:p>
        <w:p w:rsidR="00000000" w:rsidDel="00000000" w:rsidP="00000000" w:rsidRDefault="00000000" w:rsidRPr="00000000" w14:paraId="00000013">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35nkun2">
            <w:r w:rsidDel="00000000" w:rsidR="00000000" w:rsidRPr="00000000">
              <w:rPr>
                <w:rFonts w:ascii="Titillium" w:cs="Titillium" w:eastAsia="Titillium" w:hAnsi="Titillium"/>
                <w:b w:val="0"/>
                <w:i w:val="0"/>
                <w:smallCaps w:val="0"/>
                <w:strike w:val="0"/>
                <w:color w:val="000000"/>
                <w:sz w:val="20"/>
                <w:szCs w:val="20"/>
                <w:u w:val="none"/>
                <w:shd w:fill="auto" w:val="clear"/>
                <w:vertAlign w:val="baseline"/>
                <w:rtl w:val="0"/>
              </w:rPr>
              <w:t xml:space="preserve">2 DOCUMENTAZIONE DI GARA, CHIARIMENTI E COMUNICAZIONI</w:t>
              <w:tab/>
              <w:t xml:space="preserve">6</w:t>
            </w:r>
          </w:hyperlink>
          <w:r w:rsidDel="00000000" w:rsidR="00000000" w:rsidRPr="00000000">
            <w:rPr>
              <w:rtl w:val="0"/>
            </w:rPr>
          </w:r>
        </w:p>
        <w:p w:rsidR="00000000" w:rsidDel="00000000" w:rsidP="00000000" w:rsidRDefault="00000000" w:rsidRPr="00000000" w14:paraId="00000014">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ksg1kcxr9oca">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2.1 DOCUMENTI DI GARA</w:t>
              <w:tab/>
              <w:t xml:space="preserve">6</w:t>
            </w:r>
          </w:hyperlink>
          <w:r w:rsidDel="00000000" w:rsidR="00000000" w:rsidRPr="00000000">
            <w:rPr>
              <w:rtl w:val="0"/>
            </w:rPr>
          </w:r>
        </w:p>
        <w:p w:rsidR="00000000" w:rsidDel="00000000" w:rsidP="00000000" w:rsidRDefault="00000000" w:rsidRPr="00000000" w14:paraId="00000015">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ix1lo5fnfs6a">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2.2 CHIARIMENTI</w:t>
              <w:tab/>
              <w:t xml:space="preserve">6</w:t>
            </w:r>
          </w:hyperlink>
          <w:r w:rsidDel="00000000" w:rsidR="00000000" w:rsidRPr="00000000">
            <w:rPr>
              <w:rtl w:val="0"/>
            </w:rPr>
          </w:r>
        </w:p>
        <w:p w:rsidR="00000000" w:rsidDel="00000000" w:rsidP="00000000" w:rsidRDefault="00000000" w:rsidRPr="00000000" w14:paraId="00000016">
          <w:pPr>
            <w:widowControl w:val="0"/>
            <w:tabs>
              <w:tab w:val="right" w:leader="none" w:pos="12000"/>
            </w:tabs>
            <w:spacing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44sinio">
            <w:r w:rsidDel="00000000" w:rsidR="00000000" w:rsidRPr="00000000">
              <w:rPr>
                <w:rFonts w:ascii="Titillium" w:cs="Titillium" w:eastAsia="Titillium" w:hAnsi="Titillium"/>
                <w:b w:val="0"/>
                <w:i w:val="0"/>
                <w:smallCaps w:val="0"/>
                <w:strike w:val="0"/>
                <w:color w:val="000000"/>
                <w:sz w:val="20"/>
                <w:szCs w:val="20"/>
                <w:u w:val="none"/>
                <w:shd w:fill="auto" w:val="clear"/>
                <w:vertAlign w:val="baseline"/>
                <w:rtl w:val="0"/>
              </w:rPr>
              <w:t xml:space="preserve">2.3 COMUNICAZIONI</w:t>
              <w:tab/>
              <w:t xml:space="preserve">7</w:t>
            </w:r>
          </w:hyperlink>
          <w:r w:rsidDel="00000000" w:rsidR="00000000" w:rsidRPr="00000000">
            <w:rPr>
              <w:rtl w:val="0"/>
            </w:rPr>
          </w:r>
        </w:p>
        <w:p w:rsidR="00000000" w:rsidDel="00000000" w:rsidP="00000000" w:rsidRDefault="00000000" w:rsidRPr="00000000" w14:paraId="00000017">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2jxsxqh">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3. OGGETTO DELL’APPALTO, IMPORTO E SUDDIVISIONE IN LOTTI</w:t>
              <w:tab/>
              <w:t xml:space="preserve">7</w:t>
            </w:r>
          </w:hyperlink>
          <w:r w:rsidDel="00000000" w:rsidR="00000000" w:rsidRPr="00000000">
            <w:rPr>
              <w:rtl w:val="0"/>
            </w:rPr>
          </w:r>
        </w:p>
        <w:p w:rsidR="00000000" w:rsidDel="00000000" w:rsidP="00000000" w:rsidRDefault="00000000" w:rsidRPr="00000000" w14:paraId="00000018">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3j2qqm3">
            <w:r w:rsidDel="00000000" w:rsidR="00000000" w:rsidRPr="00000000">
              <w:rPr>
                <w:rFonts w:ascii="Titillium" w:cs="Titillium" w:eastAsia="Titillium" w:hAnsi="Titillium"/>
                <w:b w:val="0"/>
                <w:i w:val="0"/>
                <w:smallCaps w:val="0"/>
                <w:strike w:val="0"/>
                <w:color w:val="000000"/>
                <w:sz w:val="20"/>
                <w:szCs w:val="20"/>
                <w:u w:val="none"/>
                <w:shd w:fill="auto" w:val="clear"/>
                <w:vertAlign w:val="baseline"/>
                <w:rtl w:val="0"/>
              </w:rPr>
              <w:t xml:space="preserve">3.1 DURATA</w:t>
              <w:tab/>
              <w:t xml:space="preserve">8</w:t>
            </w:r>
          </w:hyperlink>
          <w:r w:rsidDel="00000000" w:rsidR="00000000" w:rsidRPr="00000000">
            <w:rPr>
              <w:rtl w:val="0"/>
            </w:rPr>
          </w:r>
        </w:p>
        <w:p w:rsidR="00000000" w:rsidDel="00000000" w:rsidP="00000000" w:rsidRDefault="00000000" w:rsidRPr="00000000" w14:paraId="00000019">
          <w:pPr>
            <w:widowControl w:val="0"/>
            <w:tabs>
              <w:tab w:val="right" w:leader="none" w:pos="12000"/>
            </w:tabs>
            <w:spacing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1y810tw">
            <w:r w:rsidDel="00000000" w:rsidR="00000000" w:rsidRPr="00000000">
              <w:rPr>
                <w:rFonts w:ascii="Titillium" w:cs="Titillium" w:eastAsia="Titillium" w:hAnsi="Titillium"/>
                <w:b w:val="0"/>
                <w:i w:val="0"/>
                <w:smallCaps w:val="0"/>
                <w:strike w:val="0"/>
                <w:color w:val="000000"/>
                <w:sz w:val="20"/>
                <w:szCs w:val="20"/>
                <w:u w:val="none"/>
                <w:shd w:fill="auto" w:val="clear"/>
                <w:vertAlign w:val="baseline"/>
                <w:rtl w:val="0"/>
              </w:rPr>
              <w:t xml:space="preserve">3.3 REVISIONE PREZZI</w:t>
              <w:tab/>
              <w:t xml:space="preserve">8</w:t>
            </w:r>
          </w:hyperlink>
          <w:r w:rsidDel="00000000" w:rsidR="00000000" w:rsidRPr="00000000">
            <w:rPr>
              <w:rtl w:val="0"/>
            </w:rPr>
          </w:r>
        </w:p>
        <w:p w:rsidR="00000000" w:rsidDel="00000000" w:rsidP="00000000" w:rsidRDefault="00000000" w:rsidRPr="00000000" w14:paraId="0000001A">
          <w:pPr>
            <w:widowControl w:val="0"/>
            <w:tabs>
              <w:tab w:val="right" w:leader="none" w:pos="12000"/>
            </w:tabs>
            <w:spacing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4i7ojhp">
            <w:r w:rsidDel="00000000" w:rsidR="00000000" w:rsidRPr="00000000">
              <w:rPr>
                <w:rFonts w:ascii="Titillium" w:cs="Titillium" w:eastAsia="Titillium" w:hAnsi="Titillium"/>
                <w:b w:val="0"/>
                <w:i w:val="0"/>
                <w:smallCaps w:val="0"/>
                <w:strike w:val="0"/>
                <w:color w:val="000000"/>
                <w:sz w:val="20"/>
                <w:szCs w:val="20"/>
                <w:u w:val="none"/>
                <w:shd w:fill="auto" w:val="clear"/>
                <w:vertAlign w:val="baseline"/>
                <w:rtl w:val="0"/>
              </w:rPr>
              <w:t xml:space="preserve">3.4 MODIFICA DEL CONTRATTO IN FASE DI ESECUZIONE</w:t>
              <w:tab/>
              <w:t xml:space="preserve">9</w:t>
            </w:r>
          </w:hyperlink>
          <w:r w:rsidDel="00000000" w:rsidR="00000000" w:rsidRPr="00000000">
            <w:rPr>
              <w:rtl w:val="0"/>
            </w:rPr>
          </w:r>
        </w:p>
        <w:p w:rsidR="00000000" w:rsidDel="00000000" w:rsidP="00000000" w:rsidRDefault="00000000" w:rsidRPr="00000000" w14:paraId="0000001B">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3whwml4">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4 SOGGETTI AMMESSI IN FORMA SINGOLA E ASSOCIATA E CONDIZIONI DI PARTECIPAZIONE</w:t>
              <w:tab/>
              <w:t xml:space="preserve">10</w:t>
            </w:r>
          </w:hyperlink>
          <w:r w:rsidDel="00000000" w:rsidR="00000000" w:rsidRPr="00000000">
            <w:rPr>
              <w:rtl w:val="0"/>
            </w:rPr>
          </w:r>
        </w:p>
        <w:p w:rsidR="00000000" w:rsidDel="00000000" w:rsidP="00000000" w:rsidRDefault="00000000" w:rsidRPr="00000000" w14:paraId="0000001C">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qsh70q">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5 REQUISITI DI ORDINE GENERALE E ALTRE CAUSE DI ESCLUSIONE</w:t>
              <w:tab/>
              <w:t xml:space="preserve">11</w:t>
            </w:r>
          </w:hyperlink>
          <w:r w:rsidDel="00000000" w:rsidR="00000000" w:rsidRPr="00000000">
            <w:rPr>
              <w:rtl w:val="0"/>
            </w:rPr>
          </w:r>
        </w:p>
        <w:p w:rsidR="00000000" w:rsidDel="00000000" w:rsidP="00000000" w:rsidRDefault="00000000" w:rsidRPr="00000000" w14:paraId="0000001D">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3as4poj">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6 REQUISITI DI ORDINE SPECIALE E MEZZI DI PROVA</w:t>
              <w:tab/>
              <w:t xml:space="preserve">12</w:t>
            </w:r>
          </w:hyperlink>
          <w:r w:rsidDel="00000000" w:rsidR="00000000" w:rsidRPr="00000000">
            <w:rPr>
              <w:rtl w:val="0"/>
            </w:rPr>
          </w:r>
        </w:p>
        <w:p w:rsidR="00000000" w:rsidDel="00000000" w:rsidP="00000000" w:rsidRDefault="00000000" w:rsidRPr="00000000" w14:paraId="0000001E">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1pxezwc">
            <w:r w:rsidDel="00000000" w:rsidR="00000000" w:rsidRPr="00000000">
              <w:rPr>
                <w:rFonts w:ascii="Titillium" w:cs="Titillium" w:eastAsia="Titillium" w:hAnsi="Titillium"/>
                <w:b w:val="0"/>
                <w:i w:val="0"/>
                <w:smallCaps w:val="0"/>
                <w:strike w:val="0"/>
                <w:color w:val="000000"/>
                <w:sz w:val="20"/>
                <w:szCs w:val="20"/>
                <w:u w:val="none"/>
                <w:shd w:fill="auto" w:val="clear"/>
                <w:vertAlign w:val="baseline"/>
                <w:rtl w:val="0"/>
              </w:rPr>
              <w:t xml:space="preserve">6.1 REQUISITI DI IDONEITÀ PROFESSIONALE</w:t>
              <w:tab/>
              <w:t xml:space="preserve">12</w:t>
            </w:r>
          </w:hyperlink>
          <w:r w:rsidDel="00000000" w:rsidR="00000000" w:rsidRPr="00000000">
            <w:rPr>
              <w:rtl w:val="0"/>
            </w:rPr>
          </w:r>
        </w:p>
        <w:p w:rsidR="00000000" w:rsidDel="00000000" w:rsidP="00000000" w:rsidRDefault="00000000" w:rsidRPr="00000000" w14:paraId="0000001F">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147n2zr">
            <w:r w:rsidDel="00000000" w:rsidR="00000000" w:rsidRPr="00000000">
              <w:rPr>
                <w:rFonts w:ascii="Titillium" w:cs="Titillium" w:eastAsia="Titillium" w:hAnsi="Titillium"/>
                <w:b w:val="0"/>
                <w:i w:val="0"/>
                <w:smallCaps w:val="0"/>
                <w:strike w:val="0"/>
                <w:color w:val="000000"/>
                <w:sz w:val="20"/>
                <w:szCs w:val="20"/>
                <w:u w:val="none"/>
                <w:shd w:fill="auto" w:val="clear"/>
                <w:vertAlign w:val="baseline"/>
                <w:rtl w:val="0"/>
              </w:rPr>
              <w:t xml:space="preserve">6.2 REQUISITI DI CAPACITÀ ECONOMICA E FINANZIARIA</w:t>
              <w:tab/>
              <w:t xml:space="preserve">12</w:t>
            </w:r>
          </w:hyperlink>
          <w:r w:rsidDel="00000000" w:rsidR="00000000" w:rsidRPr="00000000">
            <w:rPr>
              <w:rtl w:val="0"/>
            </w:rPr>
          </w:r>
        </w:p>
        <w:p w:rsidR="00000000" w:rsidDel="00000000" w:rsidP="00000000" w:rsidRDefault="00000000" w:rsidRPr="00000000" w14:paraId="00000020">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ihv636">
            <w:r w:rsidDel="00000000" w:rsidR="00000000" w:rsidRPr="00000000">
              <w:rPr>
                <w:rFonts w:ascii="Titillium" w:cs="Titillium" w:eastAsia="Titillium" w:hAnsi="Titillium"/>
                <w:b w:val="0"/>
                <w:i w:val="0"/>
                <w:smallCaps w:val="0"/>
                <w:strike w:val="0"/>
                <w:color w:val="000000"/>
                <w:sz w:val="20"/>
                <w:szCs w:val="20"/>
                <w:u w:val="none"/>
                <w:shd w:fill="auto" w:val="clear"/>
                <w:vertAlign w:val="baseline"/>
                <w:rtl w:val="0"/>
              </w:rPr>
              <w:t xml:space="preserve">6.3 REQUISITI DI CAPACITÀ TECNICA E PROFESSIONALE</w:t>
              <w:tab/>
              <w:t xml:space="preserve">12</w:t>
            </w:r>
          </w:hyperlink>
          <w:r w:rsidDel="00000000" w:rsidR="00000000" w:rsidRPr="00000000">
            <w:rPr>
              <w:rtl w:val="0"/>
            </w:rPr>
          </w:r>
        </w:p>
        <w:p w:rsidR="00000000" w:rsidDel="00000000" w:rsidP="00000000" w:rsidRDefault="00000000" w:rsidRPr="00000000" w14:paraId="00000021">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1hmsyys">
            <w:r w:rsidDel="00000000" w:rsidR="00000000" w:rsidRPr="00000000">
              <w:rPr>
                <w:rFonts w:ascii="Titillium" w:cs="Titillium" w:eastAsia="Titillium" w:hAnsi="Titillium"/>
                <w:b w:val="0"/>
                <w:i w:val="0"/>
                <w:smallCaps w:val="0"/>
                <w:strike w:val="0"/>
                <w:color w:val="000000"/>
                <w:sz w:val="20"/>
                <w:szCs w:val="20"/>
                <w:u w:val="none"/>
                <w:shd w:fill="auto" w:val="clear"/>
                <w:vertAlign w:val="baseline"/>
                <w:rtl w:val="0"/>
              </w:rPr>
              <w:t xml:space="preserve">6.4 INDICAZIONI SUI REQUISITI SPECIALI NEI RAGGRUPPAMENTI TEMPORANEI, CONSORZI ORDINARI, AGGREGAZIONI DI IMPRESE DI RETE, GEIE</w:t>
              <w:tab/>
              <w:t xml:space="preserve">13</w:t>
            </w:r>
          </w:hyperlink>
          <w:r w:rsidDel="00000000" w:rsidR="00000000" w:rsidRPr="00000000">
            <w:rPr>
              <w:rtl w:val="0"/>
            </w:rPr>
          </w:r>
        </w:p>
        <w:p w:rsidR="00000000" w:rsidDel="00000000" w:rsidP="00000000" w:rsidRDefault="00000000" w:rsidRPr="00000000" w14:paraId="00000022">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41mghml">
            <w:r w:rsidDel="00000000" w:rsidR="00000000" w:rsidRPr="00000000">
              <w:rPr>
                <w:rFonts w:ascii="Titillium" w:cs="Titillium" w:eastAsia="Titillium" w:hAnsi="Titillium"/>
                <w:b w:val="0"/>
                <w:i w:val="0"/>
                <w:smallCaps w:val="0"/>
                <w:strike w:val="0"/>
                <w:color w:val="000000"/>
                <w:sz w:val="20"/>
                <w:szCs w:val="20"/>
                <w:u w:val="none"/>
                <w:shd w:fill="auto" w:val="clear"/>
                <w:vertAlign w:val="baseline"/>
                <w:rtl w:val="0"/>
              </w:rPr>
              <w:t xml:space="preserve">6.5 INDICAZIONI SUI REQUISITI SPECIALI NEI CONSORZI DI COOPERATIVE, CONSORZI DI IMPRESE ARTIGIANE, CONSORZI STABILI</w:t>
              <w:tab/>
              <w:t xml:space="preserve">14</w:t>
            </w:r>
          </w:hyperlink>
          <w:r w:rsidDel="00000000" w:rsidR="00000000" w:rsidRPr="00000000">
            <w:rPr>
              <w:rtl w:val="0"/>
            </w:rPr>
          </w:r>
        </w:p>
        <w:p w:rsidR="00000000" w:rsidDel="00000000" w:rsidP="00000000" w:rsidRDefault="00000000" w:rsidRPr="00000000" w14:paraId="00000023">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2grqrue">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7. AVVALIMENTO</w:t>
              <w:tab/>
              <w:t xml:space="preserve">14</w:t>
            </w:r>
          </w:hyperlink>
          <w:r w:rsidDel="00000000" w:rsidR="00000000" w:rsidRPr="00000000">
            <w:rPr>
              <w:rtl w:val="0"/>
            </w:rPr>
          </w:r>
        </w:p>
        <w:p w:rsidR="00000000" w:rsidDel="00000000" w:rsidP="00000000" w:rsidRDefault="00000000" w:rsidRPr="00000000" w14:paraId="00000024">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vx1227">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8. SUBAPPALTO</w:t>
              <w:tab/>
              <w:t xml:space="preserve">15</w:t>
            </w:r>
          </w:hyperlink>
          <w:r w:rsidDel="00000000" w:rsidR="00000000" w:rsidRPr="00000000">
            <w:rPr>
              <w:rtl w:val="0"/>
            </w:rPr>
          </w:r>
        </w:p>
        <w:p w:rsidR="00000000" w:rsidDel="00000000" w:rsidP="00000000" w:rsidRDefault="00000000" w:rsidRPr="00000000" w14:paraId="00000025">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3fwokq0">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9. REQUISITI DI PARTECIPAZIONE E/O CONDIZIONI DI ESECUZIONE</w:t>
              <w:tab/>
              <w:t xml:space="preserve">15</w:t>
            </w:r>
          </w:hyperlink>
          <w:r w:rsidDel="00000000" w:rsidR="00000000" w:rsidRPr="00000000">
            <w:rPr>
              <w:rtl w:val="0"/>
            </w:rPr>
          </w:r>
        </w:p>
        <w:p w:rsidR="00000000" w:rsidDel="00000000" w:rsidP="00000000" w:rsidRDefault="00000000" w:rsidRPr="00000000" w14:paraId="00000026">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4f1mdlm">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10. GARANZIA PROVVISORIA</w:t>
              <w:tab/>
              <w:t xml:space="preserve">15</w:t>
            </w:r>
          </w:hyperlink>
          <w:r w:rsidDel="00000000" w:rsidR="00000000" w:rsidRPr="00000000">
            <w:rPr>
              <w:rtl w:val="0"/>
            </w:rPr>
          </w:r>
        </w:p>
        <w:p w:rsidR="00000000" w:rsidDel="00000000" w:rsidP="00000000" w:rsidRDefault="00000000" w:rsidRPr="00000000" w14:paraId="00000027">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28h4qwu">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11. SOPRALLUOGO</w:t>
              <w:tab/>
              <w:t xml:space="preserve">17</w:t>
            </w:r>
          </w:hyperlink>
          <w:r w:rsidDel="00000000" w:rsidR="00000000" w:rsidRPr="00000000">
            <w:rPr>
              <w:rtl w:val="0"/>
            </w:rPr>
          </w:r>
        </w:p>
        <w:p w:rsidR="00000000" w:rsidDel="00000000" w:rsidP="00000000" w:rsidRDefault="00000000" w:rsidRPr="00000000" w14:paraId="00000028">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nmf14n">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12. PAGAMENTO DEL CONTRIBUTO A FAVORE DELL’ANAC</w:t>
              <w:tab/>
              <w:t xml:space="preserve">18</w:t>
            </w:r>
          </w:hyperlink>
          <w:r w:rsidDel="00000000" w:rsidR="00000000" w:rsidRPr="00000000">
            <w:rPr>
              <w:rtl w:val="0"/>
            </w:rPr>
          </w:r>
        </w:p>
        <w:p w:rsidR="00000000" w:rsidDel="00000000" w:rsidP="00000000" w:rsidRDefault="00000000" w:rsidRPr="00000000" w14:paraId="00000029">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37m2jsg">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13. MODALITÀ DI PRESENTAZIONE DELL’OFFERTA E SOTTOSCRIZIONE DEI DOCUMENTI DI GARA</w:t>
              <w:tab/>
              <w:t xml:space="preserve">18</w:t>
            </w:r>
          </w:hyperlink>
          <w:r w:rsidDel="00000000" w:rsidR="00000000" w:rsidRPr="00000000">
            <w:rPr>
              <w:rtl w:val="0"/>
            </w:rPr>
          </w:r>
        </w:p>
        <w:p w:rsidR="00000000" w:rsidDel="00000000" w:rsidP="00000000" w:rsidRDefault="00000000" w:rsidRPr="00000000" w14:paraId="0000002A">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3h8ber9fhpnf">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13.1 Regole per la presentazione dell’offerta</w:t>
              <w:tab/>
              <w:t xml:space="preserve">19</w:t>
            </w:r>
          </w:hyperlink>
          <w:r w:rsidDel="00000000" w:rsidR="00000000" w:rsidRPr="00000000">
            <w:rPr>
              <w:rtl w:val="0"/>
            </w:rPr>
          </w:r>
        </w:p>
        <w:p w:rsidR="00000000" w:rsidDel="00000000" w:rsidP="00000000" w:rsidRDefault="00000000" w:rsidRPr="00000000" w14:paraId="0000002B">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1mrcu09">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14. SOCCORSO ISTRUTTORIO</w:t>
              <w:tab/>
              <w:t xml:space="preserve">20</w:t>
            </w:r>
          </w:hyperlink>
          <w:r w:rsidDel="00000000" w:rsidR="00000000" w:rsidRPr="00000000">
            <w:rPr>
              <w:rtl w:val="0"/>
            </w:rPr>
          </w:r>
        </w:p>
        <w:p w:rsidR="00000000" w:rsidDel="00000000" w:rsidP="00000000" w:rsidRDefault="00000000" w:rsidRPr="00000000" w14:paraId="0000002C">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46r0co2">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15. DOMANDA DI PARTECIPAZIONE E DOCUMENTAZIONE AMMINISTRATIVA</w:t>
              <w:tab/>
              <w:t xml:space="preserve">20</w:t>
            </w:r>
          </w:hyperlink>
          <w:r w:rsidDel="00000000" w:rsidR="00000000" w:rsidRPr="00000000">
            <w:rPr>
              <w:rtl w:val="0"/>
            </w:rPr>
          </w:r>
        </w:p>
        <w:p w:rsidR="00000000" w:rsidDel="00000000" w:rsidP="00000000" w:rsidRDefault="00000000" w:rsidRPr="00000000" w14:paraId="0000002D">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2lwamvv">
            <w:r w:rsidDel="00000000" w:rsidR="00000000" w:rsidRPr="00000000">
              <w:rPr>
                <w:rFonts w:ascii="Titillium" w:cs="Titillium" w:eastAsia="Titillium" w:hAnsi="Titillium"/>
                <w:b w:val="0"/>
                <w:i w:val="0"/>
                <w:smallCaps w:val="0"/>
                <w:strike w:val="0"/>
                <w:color w:val="000000"/>
                <w:sz w:val="20"/>
                <w:szCs w:val="20"/>
                <w:u w:val="none"/>
                <w:shd w:fill="auto" w:val="clear"/>
                <w:vertAlign w:val="baseline"/>
                <w:rtl w:val="0"/>
              </w:rPr>
              <w:t xml:space="preserve">15.1 DOMANDA DI PARTECIPAZIONE ED EVENTUALE PROCURA</w:t>
              <w:tab/>
              <w:t xml:space="preserve">21</w:t>
            </w:r>
          </w:hyperlink>
          <w:r w:rsidDel="00000000" w:rsidR="00000000" w:rsidRPr="00000000">
            <w:rPr>
              <w:rtl w:val="0"/>
            </w:rPr>
          </w:r>
        </w:p>
        <w:p w:rsidR="00000000" w:rsidDel="00000000" w:rsidP="00000000" w:rsidRDefault="00000000" w:rsidRPr="00000000" w14:paraId="0000002E">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4k668n3">
            <w:r w:rsidDel="00000000" w:rsidR="00000000" w:rsidRPr="00000000">
              <w:rPr>
                <w:rFonts w:ascii="Titillium" w:cs="Titillium" w:eastAsia="Titillium" w:hAnsi="Titillium"/>
                <w:b w:val="0"/>
                <w:i w:val="0"/>
                <w:smallCaps w:val="0"/>
                <w:strike w:val="0"/>
                <w:color w:val="000000"/>
                <w:sz w:val="20"/>
                <w:szCs w:val="20"/>
                <w:u w:val="none"/>
                <w:shd w:fill="auto" w:val="clear"/>
                <w:vertAlign w:val="baseline"/>
                <w:rtl w:val="0"/>
              </w:rPr>
              <w:t xml:space="preserve">15.2 DICHIARAZIONI DA RENDERE A CURA DEGLI  OPERATORI ECONOMICI AMMESSI AL CONCORDATO PREVENTIVO CON CONTINUITÀ AZIENDALE DI CUI ALL’ARTICOLO 372 del DECRETO LEGISLATIVO 12 GENNAIO 2019 , n. 14</w:t>
              <w:tab/>
              <w:t xml:space="preserve">23</w:t>
            </w:r>
          </w:hyperlink>
          <w:r w:rsidDel="00000000" w:rsidR="00000000" w:rsidRPr="00000000">
            <w:rPr>
              <w:rtl w:val="0"/>
            </w:rPr>
          </w:r>
        </w:p>
        <w:p w:rsidR="00000000" w:rsidDel="00000000" w:rsidP="00000000" w:rsidRDefault="00000000" w:rsidRPr="00000000" w14:paraId="0000002F">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2zbgiuw">
            <w:r w:rsidDel="00000000" w:rsidR="00000000" w:rsidRPr="00000000">
              <w:rPr>
                <w:rFonts w:ascii="Titillium" w:cs="Titillium" w:eastAsia="Titillium" w:hAnsi="Titillium"/>
                <w:b w:val="0"/>
                <w:i w:val="0"/>
                <w:smallCaps w:val="0"/>
                <w:strike w:val="0"/>
                <w:color w:val="000000"/>
                <w:sz w:val="20"/>
                <w:szCs w:val="20"/>
                <w:u w:val="none"/>
                <w:shd w:fill="auto" w:val="clear"/>
                <w:vertAlign w:val="baseline"/>
                <w:rtl w:val="0"/>
              </w:rPr>
              <w:t xml:space="preserve">15.3 DOCUMENTAZIONE IN CASO DI AVVALIMENTO</w:t>
              <w:tab/>
              <w:t xml:space="preserve">23</w:t>
            </w:r>
          </w:hyperlink>
          <w:r w:rsidDel="00000000" w:rsidR="00000000" w:rsidRPr="00000000">
            <w:rPr>
              <w:rtl w:val="0"/>
            </w:rPr>
          </w:r>
        </w:p>
        <w:p w:rsidR="00000000" w:rsidDel="00000000" w:rsidP="00000000" w:rsidRDefault="00000000" w:rsidRPr="00000000" w14:paraId="00000030">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1egqt2p">
            <w:r w:rsidDel="00000000" w:rsidR="00000000" w:rsidRPr="00000000">
              <w:rPr>
                <w:rFonts w:ascii="Titillium" w:cs="Titillium" w:eastAsia="Titillium" w:hAnsi="Titillium"/>
                <w:b w:val="0"/>
                <w:i w:val="0"/>
                <w:smallCaps w:val="0"/>
                <w:strike w:val="0"/>
                <w:color w:val="000000"/>
                <w:sz w:val="20"/>
                <w:szCs w:val="20"/>
                <w:u w:val="none"/>
                <w:shd w:fill="auto" w:val="clear"/>
                <w:vertAlign w:val="baseline"/>
                <w:rtl w:val="0"/>
              </w:rPr>
              <w:t xml:space="preserve">15.4 DOCUMENTAZIONE ULTERIORE PER I SOGGETTI ASSOCIATI</w:t>
              <w:tab/>
              <w:t xml:space="preserve">23</w:t>
            </w:r>
          </w:hyperlink>
          <w:r w:rsidDel="00000000" w:rsidR="00000000" w:rsidRPr="00000000">
            <w:rPr>
              <w:rtl w:val="0"/>
            </w:rPr>
          </w:r>
        </w:p>
        <w:p w:rsidR="00000000" w:rsidDel="00000000" w:rsidP="00000000" w:rsidRDefault="00000000" w:rsidRPr="00000000" w14:paraId="00000031">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3ygebqi">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16. OFFERTA TECNICA</w:t>
              <w:tab/>
              <w:t xml:space="preserve">25</w:t>
            </w:r>
          </w:hyperlink>
          <w:r w:rsidDel="00000000" w:rsidR="00000000" w:rsidRPr="00000000">
            <w:rPr>
              <w:rtl w:val="0"/>
            </w:rPr>
          </w:r>
        </w:p>
        <w:p w:rsidR="00000000" w:rsidDel="00000000" w:rsidP="00000000" w:rsidRDefault="00000000" w:rsidRPr="00000000" w14:paraId="00000032">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sqyw64">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17. OFFERTA ECONOMICA</w:t>
              <w:tab/>
              <w:t xml:space="preserve">25</w:t>
            </w:r>
          </w:hyperlink>
          <w:r w:rsidDel="00000000" w:rsidR="00000000" w:rsidRPr="00000000">
            <w:rPr>
              <w:rtl w:val="0"/>
            </w:rPr>
          </w:r>
        </w:p>
        <w:p w:rsidR="00000000" w:rsidDel="00000000" w:rsidP="00000000" w:rsidRDefault="00000000" w:rsidRPr="00000000" w14:paraId="00000033">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1rvwp1q">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18. CRITERIO DI AGGIUDICAZIONE</w:t>
              <w:tab/>
              <w:t xml:space="preserve">26</w:t>
            </w:r>
          </w:hyperlink>
          <w:r w:rsidDel="00000000" w:rsidR="00000000" w:rsidRPr="00000000">
            <w:rPr>
              <w:rtl w:val="0"/>
            </w:rPr>
          </w:r>
        </w:p>
        <w:p w:rsidR="00000000" w:rsidDel="00000000" w:rsidP="00000000" w:rsidRDefault="00000000" w:rsidRPr="00000000" w14:paraId="00000034">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4bvk7pj">
            <w:r w:rsidDel="00000000" w:rsidR="00000000" w:rsidRPr="00000000">
              <w:rPr>
                <w:rFonts w:ascii="Titillium" w:cs="Titillium" w:eastAsia="Titillium" w:hAnsi="Titillium"/>
                <w:b w:val="0"/>
                <w:i w:val="0"/>
                <w:smallCaps w:val="0"/>
                <w:strike w:val="0"/>
                <w:color w:val="000000"/>
                <w:sz w:val="20"/>
                <w:szCs w:val="20"/>
                <w:u w:val="none"/>
                <w:shd w:fill="auto" w:val="clear"/>
                <w:vertAlign w:val="baseline"/>
                <w:rtl w:val="0"/>
              </w:rPr>
              <w:t xml:space="preserve">18.1 CRITERI DI VALUTAZIONE DELL’OFFERTA TECNICA</w:t>
              <w:tab/>
              <w:t xml:space="preserve">26</w:t>
            </w:r>
          </w:hyperlink>
          <w:r w:rsidDel="00000000" w:rsidR="00000000" w:rsidRPr="00000000">
            <w:rPr>
              <w:rtl w:val="0"/>
            </w:rPr>
          </w:r>
        </w:p>
        <w:p w:rsidR="00000000" w:rsidDel="00000000" w:rsidP="00000000" w:rsidRDefault="00000000" w:rsidRPr="00000000" w14:paraId="00000035">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1664s55">
            <w:r w:rsidDel="00000000" w:rsidR="00000000" w:rsidRPr="00000000">
              <w:rPr>
                <w:rFonts w:ascii="Titillium" w:cs="Titillium" w:eastAsia="Titillium" w:hAnsi="Titillium"/>
                <w:b w:val="0"/>
                <w:i w:val="0"/>
                <w:smallCaps w:val="0"/>
                <w:strike w:val="0"/>
                <w:color w:val="000000"/>
                <w:sz w:val="20"/>
                <w:szCs w:val="20"/>
                <w:u w:val="none"/>
                <w:shd w:fill="auto" w:val="clear"/>
                <w:vertAlign w:val="baseline"/>
                <w:rtl w:val="0"/>
              </w:rPr>
              <w:t xml:space="preserve">18.2 METODO DI ATTRIBUZIONE DEL PUNTEGGIO DELL’OFFERTA ECONOMICA</w:t>
              <w:tab/>
              <w:t xml:space="preserve">30</w:t>
            </w:r>
          </w:hyperlink>
          <w:r w:rsidDel="00000000" w:rsidR="00000000" w:rsidRPr="00000000">
            <w:rPr>
              <w:rtl w:val="0"/>
            </w:rPr>
          </w:r>
        </w:p>
        <w:p w:rsidR="00000000" w:rsidDel="00000000" w:rsidP="00000000" w:rsidRDefault="00000000" w:rsidRPr="00000000" w14:paraId="00000036">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kgcv8k">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19. COMMISSIONE GIUDICATRICE</w:t>
              <w:tab/>
              <w:t xml:space="preserve">31</w:t>
            </w:r>
          </w:hyperlink>
          <w:r w:rsidDel="00000000" w:rsidR="00000000" w:rsidRPr="00000000">
            <w:rPr>
              <w:rtl w:val="0"/>
            </w:rPr>
          </w:r>
        </w:p>
        <w:p w:rsidR="00000000" w:rsidDel="00000000" w:rsidP="00000000" w:rsidRDefault="00000000" w:rsidRPr="00000000" w14:paraId="00000037">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34g0dwd">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20. SVOLGIMENTO DELLE OPERAZIONI DI GARA</w:t>
              <w:tab/>
              <w:t xml:space="preserve">31</w:t>
            </w:r>
          </w:hyperlink>
          <w:r w:rsidDel="00000000" w:rsidR="00000000" w:rsidRPr="00000000">
            <w:rPr>
              <w:rtl w:val="0"/>
            </w:rPr>
          </w:r>
        </w:p>
        <w:p w:rsidR="00000000" w:rsidDel="00000000" w:rsidP="00000000" w:rsidRDefault="00000000" w:rsidRPr="00000000" w14:paraId="00000038">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1jlao46">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21. VERIFICA DOCUMENTAZIONE AMMINISTRATIVA</w:t>
              <w:tab/>
              <w:t xml:space="preserve">32</w:t>
            </w:r>
          </w:hyperlink>
          <w:r w:rsidDel="00000000" w:rsidR="00000000" w:rsidRPr="00000000">
            <w:rPr>
              <w:rtl w:val="0"/>
            </w:rPr>
          </w:r>
        </w:p>
        <w:p w:rsidR="00000000" w:rsidDel="00000000" w:rsidP="00000000" w:rsidRDefault="00000000" w:rsidRPr="00000000" w14:paraId="00000039">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43ky6rz">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22. VALUTAZIONE DELLE OFFERTE TECNICHE ED ECONOMICHE</w:t>
              <w:tab/>
              <w:t xml:space="preserve">32</w:t>
            </w:r>
          </w:hyperlink>
          <w:r w:rsidDel="00000000" w:rsidR="00000000" w:rsidRPr="00000000">
            <w:rPr>
              <w:rtl w:val="0"/>
            </w:rPr>
          </w:r>
        </w:p>
        <w:p w:rsidR="00000000" w:rsidDel="00000000" w:rsidP="00000000" w:rsidRDefault="00000000" w:rsidRPr="00000000" w14:paraId="0000003A">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2iq8gzs">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23. VERIFICA DI ANOMALIA DELLE OFFERTE</w:t>
              <w:tab/>
              <w:t xml:space="preserve">33</w:t>
            </w:r>
          </w:hyperlink>
          <w:r w:rsidDel="00000000" w:rsidR="00000000" w:rsidRPr="00000000">
            <w:rPr>
              <w:rtl w:val="0"/>
            </w:rPr>
          </w:r>
        </w:p>
        <w:p w:rsidR="00000000" w:rsidDel="00000000" w:rsidP="00000000" w:rsidRDefault="00000000" w:rsidRPr="00000000" w14:paraId="0000003B">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3hv69ve">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24. AGGIUDICAZIONE DELL’APPALTO E STIPULA DEL CONTRATTO</w:t>
              <w:tab/>
              <w:t xml:space="preserve">33</w:t>
            </w:r>
          </w:hyperlink>
          <w:r w:rsidDel="00000000" w:rsidR="00000000" w:rsidRPr="00000000">
            <w:rPr>
              <w:rtl w:val="0"/>
            </w:rPr>
          </w:r>
        </w:p>
        <w:p w:rsidR="00000000" w:rsidDel="00000000" w:rsidP="00000000" w:rsidRDefault="00000000" w:rsidRPr="00000000" w14:paraId="0000003C">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4h042r0">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25. OBBLIGHI RELATIVI ALLA TRACCIABILITÀ DEI FLUSSI FINANZIARI</w:t>
              <w:tab/>
              <w:t xml:space="preserve">34</w:t>
            </w:r>
          </w:hyperlink>
          <w:r w:rsidDel="00000000" w:rsidR="00000000" w:rsidRPr="00000000">
            <w:rPr>
              <w:rtl w:val="0"/>
            </w:rPr>
          </w:r>
        </w:p>
        <w:p w:rsidR="00000000" w:rsidDel="00000000" w:rsidP="00000000" w:rsidRDefault="00000000" w:rsidRPr="00000000" w14:paraId="0000003D">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2w5ecyt">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26. CODICE DI COMPORTAMENTO</w:t>
              <w:tab/>
              <w:t xml:space="preserve">34</w:t>
            </w:r>
          </w:hyperlink>
          <w:r w:rsidDel="00000000" w:rsidR="00000000" w:rsidRPr="00000000">
            <w:rPr>
              <w:rtl w:val="0"/>
            </w:rPr>
          </w:r>
        </w:p>
        <w:p w:rsidR="00000000" w:rsidDel="00000000" w:rsidP="00000000" w:rsidRDefault="00000000" w:rsidRPr="00000000" w14:paraId="0000003E">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1baon6m">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27. ACCESSO AGLI ATTI</w:t>
              <w:tab/>
              <w:t xml:space="preserve">35</w:t>
            </w:r>
          </w:hyperlink>
          <w:r w:rsidDel="00000000" w:rsidR="00000000" w:rsidRPr="00000000">
            <w:rPr>
              <w:rtl w:val="0"/>
            </w:rPr>
          </w:r>
        </w:p>
        <w:p w:rsidR="00000000" w:rsidDel="00000000" w:rsidP="00000000" w:rsidRDefault="00000000" w:rsidRPr="00000000" w14:paraId="0000003F">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3vac5uf">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28. DEFINIZIONE DELLE CONTROVERSIE</w:t>
              <w:tab/>
              <w:t xml:space="preserve">35</w:t>
            </w:r>
          </w:hyperlink>
          <w:r w:rsidDel="00000000" w:rsidR="00000000" w:rsidRPr="00000000">
            <w:rPr>
              <w:rtl w:val="0"/>
            </w:rPr>
          </w:r>
        </w:p>
        <w:p w:rsidR="00000000" w:rsidDel="00000000" w:rsidP="00000000" w:rsidRDefault="00000000" w:rsidRPr="00000000" w14:paraId="00000040">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2afmg28">
            <w:r w:rsidDel="00000000" w:rsidR="00000000" w:rsidRPr="00000000">
              <w:rPr>
                <w:rFonts w:ascii="Titillium" w:cs="Titillium" w:eastAsia="Titillium" w:hAnsi="Titillium"/>
                <w:b w:val="0"/>
                <w:i w:val="0"/>
                <w:smallCaps w:val="1"/>
                <w:strike w:val="0"/>
                <w:color w:val="000000"/>
                <w:sz w:val="20"/>
                <w:szCs w:val="20"/>
                <w:u w:val="none"/>
                <w:shd w:fill="auto" w:val="clear"/>
                <w:vertAlign w:val="baseline"/>
                <w:rtl w:val="0"/>
              </w:rPr>
              <w:t xml:space="preserve">29. TRATTAMENTO DEI DATI PERSONALI</w:t>
              <w:tab/>
              <w:t xml:space="preserve">35</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right" w:leader="none" w:pos="9629"/>
        </w:tabs>
        <w:spacing w:after="0" w:before="0" w:line="276" w:lineRule="auto"/>
        <w:ind w:left="0" w:right="0" w:firstLine="0"/>
        <w:jc w:val="left"/>
        <w:rPr>
          <w:rFonts w:ascii="Garamond" w:cs="Garamond" w:eastAsia="Garamond" w:hAnsi="Garamond"/>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9629"/>
        </w:tabs>
        <w:spacing w:after="0" w:before="0" w:line="336" w:lineRule="auto"/>
        <w:ind w:left="442" w:right="0" w:hanging="442"/>
        <w:jc w:val="both"/>
        <w:rPr>
          <w:rFonts w:ascii="Garamond" w:cs="Garamond" w:eastAsia="Garamond" w:hAnsi="Garamond"/>
          <w:b w:val="0"/>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9629"/>
        </w:tabs>
        <w:spacing w:after="0" w:before="0" w:line="336" w:lineRule="auto"/>
        <w:ind w:left="442" w:right="0" w:hanging="442"/>
        <w:jc w:val="both"/>
        <w:rPr>
          <w:rFonts w:ascii="Garamond" w:cs="Garamond" w:eastAsia="Garamond" w:hAnsi="Garamond"/>
          <w:b w:val="0"/>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9629"/>
        </w:tabs>
        <w:spacing w:after="0" w:before="0" w:line="336" w:lineRule="auto"/>
        <w:ind w:left="442" w:right="0" w:hanging="442"/>
        <w:jc w:val="both"/>
        <w:rPr>
          <w:rFonts w:ascii="Garamond" w:cs="Garamond" w:eastAsia="Garamond" w:hAnsi="Garamond"/>
          <w:b w:val="0"/>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9629"/>
        </w:tabs>
        <w:spacing w:after="0" w:before="0" w:line="336" w:lineRule="auto"/>
        <w:ind w:left="442" w:right="0" w:hanging="442"/>
        <w:jc w:val="both"/>
        <w:rPr>
          <w:rFonts w:ascii="Garamond" w:cs="Garamond" w:eastAsia="Garamond" w:hAnsi="Garamond"/>
          <w:b w:val="0"/>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9629"/>
        </w:tabs>
        <w:spacing w:after="0" w:before="0" w:line="336" w:lineRule="auto"/>
        <w:ind w:left="442" w:right="0" w:hanging="442"/>
        <w:jc w:val="both"/>
        <w:rPr>
          <w:rFonts w:ascii="Garamond" w:cs="Garamond" w:eastAsia="Garamond" w:hAnsi="Garamond"/>
          <w:b w:val="0"/>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7">
      <w:pPr>
        <w:widowControl w:val="0"/>
        <w:spacing w:after="60" w:before="60" w:lineRule="auto"/>
        <w:rPr>
          <w:rFonts w:ascii="Titillium" w:cs="Titillium" w:eastAsia="Titillium" w:hAnsi="Titillium"/>
        </w:rPr>
      </w:pPr>
      <w:r w:rsidDel="00000000" w:rsidR="00000000" w:rsidRPr="00000000">
        <w:br w:type="page"/>
      </w:r>
      <w:r w:rsidDel="00000000" w:rsidR="00000000" w:rsidRPr="00000000">
        <w:rPr>
          <w:rtl w:val="0"/>
        </w:rPr>
      </w:r>
    </w:p>
    <w:p w:rsidR="00000000" w:rsidDel="00000000" w:rsidP="00000000" w:rsidRDefault="00000000" w:rsidRPr="00000000" w14:paraId="00000048">
      <w:pPr>
        <w:pStyle w:val="Heading1"/>
        <w:jc w:val="left"/>
        <w:rPr>
          <w:rFonts w:ascii="Arial" w:cs="Arial" w:eastAsia="Arial" w:hAnsi="Arial"/>
          <w:sz w:val="18"/>
          <w:szCs w:val="18"/>
        </w:rPr>
      </w:pPr>
      <w:bookmarkStart w:colFirst="0" w:colLast="0" w:name="_4d34og8" w:id="0"/>
      <w:bookmarkEnd w:id="0"/>
      <w:r w:rsidDel="00000000" w:rsidR="00000000" w:rsidRPr="00000000">
        <w:rPr>
          <w:rFonts w:ascii="Arial" w:cs="Arial" w:eastAsia="Arial" w:hAnsi="Arial"/>
          <w:sz w:val="18"/>
          <w:szCs w:val="18"/>
          <w:rtl w:val="0"/>
        </w:rPr>
        <w:t xml:space="preserve">PREMESSE</w:t>
      </w:r>
    </w:p>
    <w:p w:rsidR="00000000" w:rsidDel="00000000" w:rsidP="00000000" w:rsidRDefault="00000000" w:rsidRPr="00000000" w14:paraId="00000049">
      <w:pPr>
        <w:spacing w:after="60" w:before="60" w:lineRule="auto"/>
        <w:rPr>
          <w:rFonts w:ascii="Titillium" w:cs="Titillium" w:eastAsia="Titillium" w:hAnsi="Titillium"/>
        </w:rPr>
      </w:pPr>
      <w:r w:rsidDel="00000000" w:rsidR="00000000" w:rsidRPr="00000000">
        <w:rPr>
          <w:rFonts w:ascii="Titillium" w:cs="Titillium" w:eastAsia="Titillium" w:hAnsi="Titillium"/>
          <w:sz w:val="18"/>
          <w:szCs w:val="18"/>
          <w:rtl w:val="0"/>
        </w:rPr>
        <w:t xml:space="preserve">Con atto n. 103 </w:t>
      </w:r>
      <w:r w:rsidDel="00000000" w:rsidR="00000000" w:rsidRPr="00000000">
        <w:rPr>
          <w:rFonts w:ascii="Titillium" w:cs="Titillium" w:eastAsia="Titillium" w:hAnsi="Titillium"/>
          <w:i w:val="1"/>
          <w:sz w:val="18"/>
          <w:szCs w:val="18"/>
          <w:rtl w:val="0"/>
        </w:rPr>
        <w:t xml:space="preserve"> </w:t>
      </w:r>
      <w:r w:rsidDel="00000000" w:rsidR="00000000" w:rsidRPr="00000000">
        <w:rPr>
          <w:rFonts w:ascii="Titillium" w:cs="Titillium" w:eastAsia="Titillium" w:hAnsi="Titillium"/>
          <w:sz w:val="18"/>
          <w:szCs w:val="18"/>
          <w:rtl w:val="0"/>
        </w:rPr>
        <w:t xml:space="preserve">del  19/2/2024, questa Amministrazione ha deciso di affidare la concessione del servizio suddiviso in lotti, a ridotto impatto ambientale, di consegna, installazione e gestione di distributori automatici per bevande calde, fredde e alimenti per le sedi Arpae Emilia-Romagna . </w:t>
      </w:r>
      <w:r w:rsidDel="00000000" w:rsidR="00000000" w:rsidRPr="00000000">
        <w:rPr>
          <w:rtl w:val="0"/>
        </w:rPr>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both"/>
        <w:rPr>
          <w:rFonts w:ascii="Arial" w:cs="Arial" w:eastAsia="Arial" w:hAnsi="Arial"/>
          <w:sz w:val="18.000749588012695"/>
          <w:szCs w:val="18.000749588012695"/>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La presente procedura aperta è interamente svolta tramite la piattaforma telematica accessibile all’indirizzo </w:t>
      </w:r>
      <w:r w:rsidDel="00000000" w:rsidR="00000000" w:rsidRPr="00000000">
        <w:rPr>
          <w:rFonts w:ascii="Titillium" w:cs="Titillium" w:eastAsia="Titillium" w:hAnsi="Titillium"/>
          <w:sz w:val="18"/>
          <w:szCs w:val="18"/>
          <w:rtl w:val="0"/>
        </w:rPr>
        <w:br w:type="textWrapping"/>
      </w:r>
      <w:hyperlink r:id="rId6">
        <w:r w:rsidDel="00000000" w:rsidR="00000000" w:rsidRPr="00000000">
          <w:rPr>
            <w:rFonts w:ascii="Arial" w:cs="Arial" w:eastAsia="Arial" w:hAnsi="Arial"/>
            <w:color w:val="1155cc"/>
            <w:sz w:val="18.000749588012695"/>
            <w:szCs w:val="18.000749588012695"/>
            <w:u w:val="single"/>
            <w:rtl w:val="0"/>
          </w:rPr>
          <w:t xml:space="preserve">https://intercenter.regione.emilia-romagna.it/servizi-imprese/bandi-altri-enti/bandi-e-avvisi-altri-enti</w:t>
        </w:r>
      </w:hyperlink>
      <w:r w:rsidDel="00000000" w:rsidR="00000000" w:rsidRPr="00000000">
        <w:rPr>
          <w:rtl w:val="0"/>
        </w:rPr>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L’affidamento avviene mediante procedura aperta con applicazione del criterio dell’offerta economicamente più vantaggiosa individuata sulla base del miglior rapporto qualità prezzo</w:t>
      </w:r>
    </w:p>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both"/>
        <w:rPr>
          <w:rFonts w:ascii="Garamond" w:cs="Garamond" w:eastAsia="Garamond" w:hAnsi="Garamond"/>
          <w:b w:val="0"/>
          <w:smallCaps w:val="0"/>
          <w:strike w:val="0"/>
          <w:color w:val="000000"/>
          <w:sz w:val="20"/>
          <w:szCs w:val="20"/>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La durata del procedimento è prevista pari a </w:t>
      </w:r>
      <w:r w:rsidDel="00000000" w:rsidR="00000000" w:rsidRPr="00000000">
        <w:rPr>
          <w:rFonts w:ascii="Titillium" w:cs="Titillium" w:eastAsia="Titillium" w:hAnsi="Titillium"/>
          <w:sz w:val="18"/>
          <w:szCs w:val="18"/>
          <w:rtl w:val="0"/>
        </w:rPr>
        <w:t xml:space="preserve">9</w:t>
      </w: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 mesi dalla pubblicazione del </w:t>
      </w:r>
      <w:r w:rsidDel="00000000" w:rsidR="00000000" w:rsidRPr="00000000">
        <w:rPr>
          <w:rFonts w:ascii="Titillium" w:cs="Titillium" w:eastAsia="Titillium" w:hAnsi="Titillium"/>
          <w:b w:val="0"/>
          <w:smallCaps w:val="0"/>
          <w:strike w:val="0"/>
          <w:color w:val="000000"/>
          <w:sz w:val="18"/>
          <w:szCs w:val="18"/>
          <w:u w:val="none"/>
          <w:shd w:fill="auto" w:val="clear"/>
          <w:vertAlign w:val="baseline"/>
          <w:rtl w:val="0"/>
        </w:rPr>
        <w:t xml:space="preserve">bando</w:t>
      </w:r>
      <w:r w:rsidDel="00000000" w:rsidR="00000000" w:rsidRPr="00000000">
        <w:rPr>
          <w:rFonts w:ascii="Titillium" w:cs="Titillium" w:eastAsia="Titillium" w:hAnsi="Titillium"/>
          <w:sz w:val="18"/>
          <w:szCs w:val="18"/>
          <w:rtl w:val="0"/>
        </w:rPr>
        <w:t xml:space="preserve">.</w:t>
      </w:r>
      <w:r w:rsidDel="00000000" w:rsidR="00000000" w:rsidRPr="00000000">
        <w:rPr>
          <w:rtl w:val="0"/>
        </w:rPr>
      </w:r>
    </w:p>
    <w:p w:rsidR="00000000" w:rsidDel="00000000" w:rsidP="00000000" w:rsidRDefault="00000000" w:rsidRPr="00000000" w14:paraId="0000004D">
      <w:pPr>
        <w:tabs>
          <w:tab w:val="left" w:leader="none" w:pos="360"/>
        </w:tabs>
        <w:spacing w:after="60" w:before="60" w:lineRule="auto"/>
        <w:rPr>
          <w:rFonts w:ascii="Arial" w:cs="Arial" w:eastAsia="Arial" w:hAnsi="Arial"/>
          <w:sz w:val="18"/>
          <w:szCs w:val="18"/>
          <w:highlight w:val="white"/>
        </w:rPr>
      </w:pPr>
      <w:r w:rsidDel="00000000" w:rsidR="00000000" w:rsidRPr="00000000">
        <w:rPr>
          <w:rFonts w:ascii="Titillium" w:cs="Titillium" w:eastAsia="Titillium" w:hAnsi="Titillium"/>
          <w:sz w:val="18"/>
          <w:szCs w:val="18"/>
          <w:rtl w:val="0"/>
        </w:rPr>
        <w:t xml:space="preserve">I luoghi di svolgimento del servizio  sono le sedi </w:t>
      </w:r>
      <w:r w:rsidDel="00000000" w:rsidR="00000000" w:rsidRPr="00000000">
        <w:rPr>
          <w:rFonts w:ascii="Arial" w:cs="Arial" w:eastAsia="Arial" w:hAnsi="Arial"/>
          <w:sz w:val="18"/>
          <w:szCs w:val="18"/>
          <w:highlight w:val="white"/>
          <w:rtl w:val="0"/>
        </w:rPr>
        <w:t xml:space="preserve"> dell’Agenzia ubicate nel territorio della regione Emilia-Romagna Codice NUTS ITH5. </w:t>
      </w:r>
    </w:p>
    <w:p w:rsidR="00000000" w:rsidDel="00000000" w:rsidP="00000000" w:rsidRDefault="00000000" w:rsidRPr="00000000" w14:paraId="0000004E">
      <w:pPr>
        <w:tabs>
          <w:tab w:val="left" w:leader="none" w:pos="360"/>
        </w:tabs>
        <w:spacing w:after="60" w:before="60" w:lineRule="auto"/>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L’appalto è suddiviso in lotti</w:t>
      </w:r>
    </w:p>
    <w:p w:rsidR="00000000" w:rsidDel="00000000" w:rsidP="00000000" w:rsidRDefault="00000000" w:rsidRPr="00000000" w14:paraId="0000004F">
      <w:pPr>
        <w:spacing w:after="60" w:before="60" w:lineRule="auto"/>
        <w:rPr>
          <w:rFonts w:ascii="Arial" w:cs="Arial" w:eastAsia="Arial" w:hAnsi="Arial"/>
          <w:sz w:val="18"/>
          <w:szCs w:val="18"/>
        </w:rPr>
      </w:pPr>
      <w:r w:rsidDel="00000000" w:rsidR="00000000" w:rsidRPr="00000000">
        <w:rPr>
          <w:rFonts w:ascii="Titillium" w:cs="Titillium" w:eastAsia="Titillium" w:hAnsi="Titillium"/>
          <w:sz w:val="18"/>
          <w:szCs w:val="18"/>
          <w:rtl w:val="0"/>
        </w:rPr>
        <w:t xml:space="preserve">lotto 1 CIG</w:t>
      </w:r>
      <w:r w:rsidDel="00000000" w:rsidR="00000000" w:rsidRPr="00000000">
        <w:rPr>
          <w:rFonts w:ascii="Arial" w:cs="Arial" w:eastAsia="Arial" w:hAnsi="Arial"/>
          <w:sz w:val="18"/>
          <w:szCs w:val="18"/>
          <w:rtl w:val="0"/>
        </w:rPr>
        <w:t xml:space="preserve">  B06F7B8A49</w:t>
        <w:tab/>
        <w:t xml:space="preserve">CUI </w:t>
      </w:r>
      <w:r w:rsidDel="00000000" w:rsidR="00000000" w:rsidRPr="00000000">
        <w:rPr>
          <w:rFonts w:ascii="Arial" w:cs="Arial" w:eastAsia="Arial" w:hAnsi="Arial"/>
          <w:sz w:val="18"/>
          <w:szCs w:val="18"/>
          <w:rtl w:val="0"/>
        </w:rPr>
        <w:t xml:space="preserve">S04290860370202000004 </w:t>
      </w:r>
    </w:p>
    <w:p w:rsidR="00000000" w:rsidDel="00000000" w:rsidP="00000000" w:rsidRDefault="00000000" w:rsidRPr="00000000" w14:paraId="00000050">
      <w:pPr>
        <w:spacing w:after="60" w:before="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lotto 2 CIG B06F7B9B1C</w:t>
        <w:tab/>
        <w:t xml:space="preserve">CUI  S04290860370202000004 </w:t>
      </w:r>
    </w:p>
    <w:p w:rsidR="00000000" w:rsidDel="00000000" w:rsidP="00000000" w:rsidRDefault="00000000" w:rsidRPr="00000000" w14:paraId="00000051">
      <w:pPr>
        <w:spacing w:after="60" w:before="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lotto 3 CIG B06F7BABEF </w:t>
        <w:tab/>
        <w:t xml:space="preserve">CUI S04290860370202000004 </w:t>
      </w:r>
    </w:p>
    <w:p w:rsidR="00000000" w:rsidDel="00000000" w:rsidP="00000000" w:rsidRDefault="00000000" w:rsidRPr="00000000" w14:paraId="00000052">
      <w:pPr>
        <w:spacing w:after="60" w:before="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lotto 4 CIG  B06F7BBCC2</w:t>
        <w:tab/>
        <w:t xml:space="preserve">CUI  S04290860370202000004</w:t>
      </w:r>
      <w:r w:rsidDel="00000000" w:rsidR="00000000" w:rsidRPr="00000000">
        <w:rPr>
          <w:rFonts w:ascii="Arial" w:cs="Arial" w:eastAsia="Arial" w:hAnsi="Arial"/>
          <w:sz w:val="22"/>
          <w:szCs w:val="22"/>
          <w:rtl w:val="0"/>
        </w:rPr>
        <w:t xml:space="preserve"> </w:t>
      </w:r>
      <w:r w:rsidDel="00000000" w:rsidR="00000000" w:rsidRPr="00000000">
        <w:rPr>
          <w:rtl w:val="0"/>
        </w:rPr>
      </w:r>
    </w:p>
    <w:p w:rsidR="00000000" w:rsidDel="00000000" w:rsidP="00000000" w:rsidRDefault="00000000" w:rsidRPr="00000000" w14:paraId="00000053">
      <w:pPr>
        <w:spacing w:after="60" w:before="60" w:lineRule="auto"/>
        <w:rPr>
          <w:rFonts w:ascii="Titillium" w:cs="Titillium" w:eastAsia="Titillium" w:hAnsi="Titillium"/>
          <w:sz w:val="18"/>
          <w:szCs w:val="18"/>
          <w:highlight w:val="yellow"/>
        </w:rPr>
      </w:pPr>
      <w:r w:rsidDel="00000000" w:rsidR="00000000" w:rsidRPr="00000000">
        <w:rPr>
          <w:rFonts w:ascii="Titillium" w:cs="Titillium" w:eastAsia="Titillium" w:hAnsi="Titillium"/>
          <w:sz w:val="18"/>
          <w:szCs w:val="18"/>
          <w:rtl w:val="0"/>
        </w:rPr>
        <w:t xml:space="preserve">Il Responsabile unico del progetto </w:t>
      </w:r>
      <w:r w:rsidDel="00000000" w:rsidR="00000000" w:rsidRPr="00000000">
        <w:rPr>
          <w:rFonts w:ascii="Titillium" w:cs="Titillium" w:eastAsia="Titillium" w:hAnsi="Titillium"/>
          <w:sz w:val="18"/>
          <w:szCs w:val="18"/>
          <w:rtl w:val="0"/>
        </w:rPr>
        <w:t xml:space="preserve">è </w:t>
      </w:r>
      <w:r w:rsidDel="00000000" w:rsidR="00000000" w:rsidRPr="00000000">
        <w:rPr>
          <w:rFonts w:ascii="Titillium" w:cs="Titillium" w:eastAsia="Titillium" w:hAnsi="Titillium"/>
          <w:i w:val="1"/>
          <w:sz w:val="18"/>
          <w:szCs w:val="18"/>
          <w:rtl w:val="0"/>
        </w:rPr>
        <w:t xml:space="preserve"> </w:t>
      </w:r>
      <w:r w:rsidDel="00000000" w:rsidR="00000000" w:rsidRPr="00000000">
        <w:rPr>
          <w:rFonts w:ascii="Titillium" w:cs="Titillium" w:eastAsia="Titillium" w:hAnsi="Titillium"/>
          <w:sz w:val="18"/>
          <w:szCs w:val="18"/>
          <w:rtl w:val="0"/>
        </w:rPr>
        <w:t xml:space="preserve">la dott.ssa  Elena Bortolotti  e - mail: </w:t>
      </w:r>
      <w:hyperlink r:id="rId7">
        <w:r w:rsidDel="00000000" w:rsidR="00000000" w:rsidRPr="00000000">
          <w:rPr>
            <w:rFonts w:ascii="Titillium" w:cs="Titillium" w:eastAsia="Titillium" w:hAnsi="Titillium"/>
            <w:color w:val="1155cc"/>
            <w:sz w:val="18"/>
            <w:szCs w:val="18"/>
            <w:u w:val="single"/>
            <w:rtl w:val="0"/>
          </w:rPr>
          <w:t xml:space="preserve">ebortolotti@arpae.it</w:t>
        </w:r>
      </w:hyperlink>
      <w:r w:rsidDel="00000000" w:rsidR="00000000" w:rsidRPr="00000000">
        <w:rPr>
          <w:rFonts w:ascii="Titillium" w:cs="Titillium" w:eastAsia="Titillium" w:hAnsi="Titillium"/>
          <w:sz w:val="18"/>
          <w:szCs w:val="18"/>
          <w:rtl w:val="0"/>
        </w:rPr>
        <w:t xml:space="preserve"> </w:t>
      </w:r>
      <w:r w:rsidDel="00000000" w:rsidR="00000000" w:rsidRPr="00000000">
        <w:rPr>
          <w:rFonts w:ascii="Titillium" w:cs="Titillium" w:eastAsia="Titillium" w:hAnsi="Titillium"/>
          <w:sz w:val="18"/>
          <w:szCs w:val="18"/>
          <w:highlight w:val="yellow"/>
          <w:rtl w:val="0"/>
        </w:rPr>
        <w:t xml:space="preserve"> </w:t>
      </w:r>
    </w:p>
    <w:p w:rsidR="00000000" w:rsidDel="00000000" w:rsidP="00000000" w:rsidRDefault="00000000" w:rsidRPr="00000000" w14:paraId="00000054">
      <w:pPr>
        <w:pStyle w:val="Heading1"/>
        <w:jc w:val="left"/>
        <w:rPr>
          <w:rFonts w:ascii="Arial" w:cs="Arial" w:eastAsia="Arial" w:hAnsi="Arial"/>
          <w:sz w:val="18"/>
          <w:szCs w:val="18"/>
        </w:rPr>
      </w:pPr>
      <w:bookmarkStart w:colFirst="0" w:colLast="0" w:name="_2s8eyo1" w:id="1"/>
      <w:bookmarkEnd w:id="1"/>
      <w:r w:rsidDel="00000000" w:rsidR="00000000" w:rsidRPr="00000000">
        <w:rPr>
          <w:rFonts w:ascii="Arial" w:cs="Arial" w:eastAsia="Arial" w:hAnsi="Arial"/>
          <w:sz w:val="18"/>
          <w:szCs w:val="18"/>
          <w:rtl w:val="0"/>
        </w:rPr>
        <w:t xml:space="preserve">1 PIATTAFORMA TELEMATICA </w:t>
      </w:r>
    </w:p>
    <w:p w:rsidR="00000000" w:rsidDel="00000000" w:rsidP="00000000" w:rsidRDefault="00000000" w:rsidRPr="00000000" w14:paraId="00000055">
      <w:pPr>
        <w:pStyle w:val="Heading2"/>
        <w:rPr/>
      </w:pPr>
      <w:bookmarkStart w:colFirst="0" w:colLast="0" w:name="_17dp8vu" w:id="2"/>
      <w:bookmarkEnd w:id="2"/>
      <w:r w:rsidDel="00000000" w:rsidR="00000000" w:rsidRPr="00000000">
        <w:rPr>
          <w:rtl w:val="0"/>
        </w:rPr>
        <w:t xml:space="preserve">1.1 LA PIATTAFORMA TELEMATICA DI NEGOZIAZIONE</w:t>
      </w:r>
    </w:p>
    <w:p w:rsidR="00000000" w:rsidDel="00000000" w:rsidP="00000000" w:rsidRDefault="00000000" w:rsidRPr="00000000" w14:paraId="00000056">
      <w:pPr>
        <w:widowControl w:val="0"/>
        <w:spacing w:before="14.832763671875" w:line="314.527530670166" w:lineRule="auto"/>
        <w:ind w:right="69.59716796875"/>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Il funzionamento della piattaforma SATER - Sistema per gli Acquisti Telematici dell'Emilia-Romagna avviene nel rispetto della legislazione vigente.</w:t>
      </w:r>
    </w:p>
    <w:p w:rsidR="00000000" w:rsidDel="00000000" w:rsidP="00000000" w:rsidRDefault="00000000" w:rsidRPr="00000000" w14:paraId="00000057">
      <w:pPr>
        <w:widowControl w:val="0"/>
        <w:spacing w:before="14.832763671875" w:line="314.527530670166" w:lineRule="auto"/>
        <w:ind w:right="69.59716796875"/>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L’utilizzo di SATER comporta l’accettazione tacita ed incondizionata di tutti i termini, le condizioni di utilizzo e le avvertenze contenute nei documenti di gara e nel regolamento di utilizzo del sistema, nonché di quanto portato a conoscenza degli utenti tramite le comunicazioni sul SATER.</w:t>
      </w:r>
    </w:p>
    <w:p w:rsidR="00000000" w:rsidDel="00000000" w:rsidP="00000000" w:rsidRDefault="00000000" w:rsidRPr="00000000" w14:paraId="00000058">
      <w:pPr>
        <w:widowControl w:val="0"/>
        <w:spacing w:before="14.832763671875" w:line="314.527530670166" w:lineRule="auto"/>
        <w:ind w:right="69.59716796875"/>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L’utilizzo di SATER avviene nel rispetto dei principi di autoresponsabilità e di diligenza professionale, secondo quanto previsto dall’articolo 1176, comma 2, del Codice civile.</w:t>
      </w:r>
    </w:p>
    <w:p w:rsidR="00000000" w:rsidDel="00000000" w:rsidP="00000000" w:rsidRDefault="00000000" w:rsidRPr="00000000" w14:paraId="00000059">
      <w:pPr>
        <w:widowControl w:val="0"/>
        <w:spacing w:before="14.832763671875" w:line="314.527530670166" w:lineRule="auto"/>
        <w:ind w:right="69.59716796875"/>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Arpae Emilia-Romagna non assume alcuna responsabilità per perdita di documenti e dati, danneggiamento di file e documenti, ritardi nell’inserimento di dati, documenti e/o nella presentazione della domanda, malfunzionamento, danni, pregiudizi derivanti all’operatore economico, da: </w:t>
      </w:r>
    </w:p>
    <w:p w:rsidR="00000000" w:rsidDel="00000000" w:rsidP="00000000" w:rsidRDefault="00000000" w:rsidRPr="00000000" w14:paraId="0000005A">
      <w:pPr>
        <w:widowControl w:val="0"/>
        <w:spacing w:before="14.832763671875" w:line="314.527530670166" w:lineRule="auto"/>
        <w:ind w:right="69.59716796875"/>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 difetti di funzionamento delle apparecchiature e dei sistemi di collegamento e programmi impiegati dal singolo operatore economico per il collegamento a SATER;</w:t>
      </w:r>
    </w:p>
    <w:p w:rsidR="00000000" w:rsidDel="00000000" w:rsidP="00000000" w:rsidRDefault="00000000" w:rsidRPr="00000000" w14:paraId="0000005B">
      <w:pPr>
        <w:widowControl w:val="0"/>
        <w:spacing w:before="14.832763671875" w:line="314.527530670166" w:lineRule="auto"/>
        <w:ind w:right="69.59716796875"/>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 utilizzo della piattaforma SATER da parte dell’operatore economico in maniera non conforme al Disciplinare e a quanto previsto nel Regolamento di utilizzo del sistema.</w:t>
      </w:r>
    </w:p>
    <w:p w:rsidR="00000000" w:rsidDel="00000000" w:rsidP="00000000" w:rsidRDefault="00000000" w:rsidRPr="00000000" w14:paraId="0000005C">
      <w:pPr>
        <w:widowControl w:val="0"/>
        <w:spacing w:before="14.832763671875" w:line="314.527530670166" w:lineRule="auto"/>
        <w:ind w:right="69.59716796875"/>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In caso di mancato funzionamento di SATER o di malfunzionamento dello stesso, non dovuti alle predette circostanze, che impediscono la corretta presentazione delle offerte, al fine di assicurare la massima partecipazione, l’Arpae può disporre la sospensione del termine di presentazione delle offerte per un periodo di tempo necessario a ripristinare il normale funzionamento di SATER e la proroga dello stesso per una durata proporzionale alla durata del mancato o non corretto funzionamento, tenuto conto della gravità dello stesso. </w:t>
      </w:r>
    </w:p>
    <w:p w:rsidR="00000000" w:rsidDel="00000000" w:rsidP="00000000" w:rsidRDefault="00000000" w:rsidRPr="00000000" w14:paraId="0000005D">
      <w:pPr>
        <w:widowControl w:val="0"/>
        <w:spacing w:before="14.832763671875" w:line="314.527530670166" w:lineRule="auto"/>
        <w:ind w:right="69.59716796875"/>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Arpae Emilia-Romagna si riserva di agire in tal modo anche quando, esclusa la negligenza dell’operatore economico, non sia possibile accertare la causa del mancato funzionamento o del malfunzionamento.</w:t>
      </w:r>
    </w:p>
    <w:p w:rsidR="00000000" w:rsidDel="00000000" w:rsidP="00000000" w:rsidRDefault="00000000" w:rsidRPr="00000000" w14:paraId="0000005E">
      <w:pPr>
        <w:widowControl w:val="0"/>
        <w:spacing w:before="14.832763671875" w:line="314.527530670166" w:lineRule="auto"/>
        <w:ind w:right="69.59716796875"/>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Le attività e le operazioni effettuate nell'ambito di SATER sono registrate e attribuite all’operatore economico e si intendono compiute nell’ora e nel giorno risultanti dalle registrazioni di sistema.</w:t>
      </w:r>
    </w:p>
    <w:p w:rsidR="00000000" w:rsidDel="00000000" w:rsidP="00000000" w:rsidRDefault="00000000" w:rsidRPr="00000000" w14:paraId="0000005F">
      <w:pPr>
        <w:widowControl w:val="0"/>
        <w:spacing w:before="14.832763671875" w:line="314.527530670166" w:lineRule="auto"/>
        <w:ind w:right="69.59716796875"/>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Il sistema operativo di SATER è sincronizzato sulla scala di tempo nazionale di cui al decreto del Ministro dell'industria, del commercio e dell'artigianato 30 novembre 1993, n. 591, tramite protocollo NTP o standard superiore.</w:t>
      </w:r>
    </w:p>
    <w:p w:rsidR="00000000" w:rsidDel="00000000" w:rsidP="00000000" w:rsidRDefault="00000000" w:rsidRPr="00000000" w14:paraId="00000060">
      <w:pPr>
        <w:widowControl w:val="0"/>
        <w:spacing w:before="14.832763671875" w:line="314.527530670166" w:lineRule="auto"/>
        <w:ind w:right="69.59716796875"/>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L’utilizzo e il funzionamento di SATER avvengono in conformità a quanto riportato nel Regolamento di utilizzo del sistema, disponibile all’indirizzo </w:t>
      </w:r>
      <w:hyperlink r:id="rId8">
        <w:r w:rsidDel="00000000" w:rsidR="00000000" w:rsidRPr="00000000">
          <w:rPr>
            <w:rFonts w:ascii="Titillium" w:cs="Titillium" w:eastAsia="Titillium" w:hAnsi="Titillium"/>
            <w:color w:val="1155cc"/>
            <w:sz w:val="18"/>
            <w:szCs w:val="18"/>
            <w:u w:val="single"/>
            <w:rtl w:val="0"/>
          </w:rPr>
          <w:t xml:space="preserve">https://intercenter.regione.emiliaromagna.it/sistema-acquisti-sater/regolamenti</w:t>
        </w:r>
      </w:hyperlink>
      <w:r w:rsidDel="00000000" w:rsidR="00000000" w:rsidRPr="00000000">
        <w:rPr>
          <w:rFonts w:ascii="Titillium" w:cs="Titillium" w:eastAsia="Titillium" w:hAnsi="Titillium"/>
          <w:sz w:val="18"/>
          <w:szCs w:val="18"/>
          <w:rtl w:val="0"/>
        </w:rPr>
        <w:t xml:space="preserve">   che costituisce parte integrante del presente disciplinare.</w:t>
      </w:r>
    </w:p>
    <w:p w:rsidR="00000000" w:rsidDel="00000000" w:rsidP="00000000" w:rsidRDefault="00000000" w:rsidRPr="00000000" w14:paraId="00000061">
      <w:pPr>
        <w:widowControl w:val="0"/>
        <w:spacing w:before="14.832763671875" w:line="314.527530670166" w:lineRule="auto"/>
        <w:ind w:right="69.59716796875"/>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L’acquisto, l’installazione e la configurazione dell’hardware, del software, dei certificati digitali di firma, della casella di PEC o comunque di un indirizzo di servizio elettronico di recapito certificato qualificato, nonché dei collegamenti per l’accesso alla rete Internet, restano a esclusivo carico dell’operatore economico. </w:t>
      </w:r>
    </w:p>
    <w:p w:rsidR="00000000" w:rsidDel="00000000" w:rsidP="00000000" w:rsidRDefault="00000000" w:rsidRPr="00000000" w14:paraId="00000062">
      <w:pPr>
        <w:widowControl w:val="0"/>
        <w:spacing w:before="14.832763671875" w:line="314.527530670166" w:lineRule="auto"/>
        <w:ind w:right="69.59716796875"/>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SATER è sempre accessibile all’indirizzo </w:t>
      </w:r>
      <w:hyperlink r:id="rId9">
        <w:r w:rsidDel="00000000" w:rsidR="00000000" w:rsidRPr="00000000">
          <w:rPr>
            <w:rFonts w:ascii="Titillium" w:cs="Titillium" w:eastAsia="Titillium" w:hAnsi="Titillium"/>
            <w:color w:val="1155cc"/>
            <w:sz w:val="18"/>
            <w:szCs w:val="18"/>
            <w:u w:val="single"/>
            <w:rtl w:val="0"/>
          </w:rPr>
          <w:t xml:space="preserve">https://piattaformaintercenter.regione.emiliaromagna.it/portale_ic/</w:t>
        </w:r>
      </w:hyperlink>
      <w:r w:rsidDel="00000000" w:rsidR="00000000" w:rsidRPr="00000000">
        <w:rPr>
          <w:rFonts w:ascii="Titillium" w:cs="Titillium" w:eastAsia="Titillium" w:hAnsi="Titillium"/>
          <w:sz w:val="18"/>
          <w:szCs w:val="18"/>
          <w:rtl w:val="0"/>
        </w:rPr>
        <w:t xml:space="preserve">  .</w:t>
      </w:r>
    </w:p>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s>
        <w:spacing w:after="0" w:before="0" w:line="276" w:lineRule="auto"/>
        <w:ind w:left="0" w:right="0" w:firstLine="0"/>
        <w:jc w:val="both"/>
        <w:rPr>
          <w:rFonts w:ascii="Titillium" w:cs="Titillium" w:eastAsia="Titillium" w:hAnsi="Titillium"/>
          <w:sz w:val="18"/>
          <w:szCs w:val="18"/>
        </w:rPr>
      </w:pPr>
      <w:r w:rsidDel="00000000" w:rsidR="00000000" w:rsidRPr="00000000">
        <w:rPr>
          <w:rtl w:val="0"/>
        </w:rPr>
      </w:r>
    </w:p>
    <w:p w:rsidR="00000000" w:rsidDel="00000000" w:rsidP="00000000" w:rsidRDefault="00000000" w:rsidRPr="00000000" w14:paraId="00000064">
      <w:pPr>
        <w:pStyle w:val="Heading3"/>
        <w:ind w:left="0" w:firstLine="0"/>
        <w:rPr>
          <w:rFonts w:ascii="Titillium" w:cs="Titillium" w:eastAsia="Titillium" w:hAnsi="Titillium"/>
          <w:smallCaps w:val="0"/>
          <w:sz w:val="18"/>
          <w:szCs w:val="18"/>
        </w:rPr>
      </w:pPr>
      <w:bookmarkStart w:colFirst="0" w:colLast="0" w:name="_3rdcrjn" w:id="3"/>
      <w:bookmarkEnd w:id="3"/>
      <w:r w:rsidDel="00000000" w:rsidR="00000000" w:rsidRPr="00000000">
        <w:rPr>
          <w:rFonts w:ascii="Titillium" w:cs="Titillium" w:eastAsia="Titillium" w:hAnsi="Titillium"/>
          <w:smallCaps w:val="0"/>
          <w:sz w:val="18"/>
          <w:szCs w:val="18"/>
          <w:rtl w:val="0"/>
        </w:rPr>
        <w:t xml:space="preserve">1.2 </w:t>
      </w:r>
      <w:r w:rsidDel="00000000" w:rsidR="00000000" w:rsidRPr="00000000">
        <w:rPr>
          <w:rFonts w:ascii="Titillium" w:cs="Titillium" w:eastAsia="Titillium" w:hAnsi="Titillium"/>
          <w:smallCaps w:val="0"/>
          <w:sz w:val="18"/>
          <w:szCs w:val="18"/>
          <w:rtl w:val="0"/>
        </w:rPr>
        <w:t xml:space="preserve">DOTAZIONI TECNICHE</w:t>
      </w:r>
    </w:p>
    <w:p w:rsidR="00000000" w:rsidDel="00000000" w:rsidP="00000000" w:rsidRDefault="00000000" w:rsidRPr="00000000" w14:paraId="00000065">
      <w:pPr>
        <w:widowControl w:val="0"/>
        <w:rPr>
          <w:rFonts w:ascii="Titillium" w:cs="Titillium" w:eastAsia="Titillium" w:hAnsi="Titillium"/>
          <w:sz w:val="18"/>
          <w:szCs w:val="18"/>
          <w:highlight w:val="white"/>
        </w:rPr>
      </w:pPr>
      <w:r w:rsidDel="00000000" w:rsidR="00000000" w:rsidRPr="00000000">
        <w:rPr>
          <w:rFonts w:ascii="Titillium" w:cs="Titillium" w:eastAsia="Titillium" w:hAnsi="Titillium"/>
          <w:sz w:val="18"/>
          <w:szCs w:val="18"/>
          <w:highlight w:val="white"/>
          <w:rtl w:val="0"/>
        </w:rPr>
        <w:t xml:space="preserve">Ai fini della partecipazione alla presente procedura, ogni operatore economico deve dotarsi, a propria cura, spesa e responsabilità della strumentazione tecnica ed informatica conforme a quella indicata nel presente disciplinare e nel Regolamento di utilizzo del sistema. </w:t>
      </w:r>
    </w:p>
    <w:p w:rsidR="00000000" w:rsidDel="00000000" w:rsidP="00000000" w:rsidRDefault="00000000" w:rsidRPr="00000000" w14:paraId="00000066">
      <w:pPr>
        <w:widowControl w:val="0"/>
        <w:rPr>
          <w:rFonts w:ascii="Titillium" w:cs="Titillium" w:eastAsia="Titillium" w:hAnsi="Titillium"/>
          <w:sz w:val="18"/>
          <w:szCs w:val="18"/>
          <w:highlight w:val="white"/>
        </w:rPr>
      </w:pPr>
      <w:r w:rsidDel="00000000" w:rsidR="00000000" w:rsidRPr="00000000">
        <w:rPr>
          <w:rFonts w:ascii="Titillium" w:cs="Titillium" w:eastAsia="Titillium" w:hAnsi="Titillium"/>
          <w:sz w:val="18"/>
          <w:szCs w:val="18"/>
          <w:highlight w:val="white"/>
          <w:rtl w:val="0"/>
        </w:rPr>
        <w:t xml:space="preserve">In ogni caso è indispensabile: </w:t>
      </w:r>
    </w:p>
    <w:p w:rsidR="00000000" w:rsidDel="00000000" w:rsidP="00000000" w:rsidRDefault="00000000" w:rsidRPr="00000000" w14:paraId="00000067">
      <w:pPr>
        <w:widowControl w:val="0"/>
        <w:rPr>
          <w:rFonts w:ascii="Titillium" w:cs="Titillium" w:eastAsia="Titillium" w:hAnsi="Titillium"/>
          <w:sz w:val="18"/>
          <w:szCs w:val="18"/>
          <w:highlight w:val="white"/>
        </w:rPr>
      </w:pPr>
      <w:r w:rsidDel="00000000" w:rsidR="00000000" w:rsidRPr="00000000">
        <w:rPr>
          <w:rFonts w:ascii="Titillium" w:cs="Titillium" w:eastAsia="Titillium" w:hAnsi="Titillium"/>
          <w:sz w:val="18"/>
          <w:szCs w:val="18"/>
          <w:highlight w:val="white"/>
          <w:rtl w:val="0"/>
        </w:rPr>
        <w:t xml:space="preserve">a) disporre almeno di un personal computer conforme agli standard aggiornati di mercato, con connessione internet e dotato di un comune browser idoneo ad operare in modo corretto su SATER; </w:t>
      </w:r>
    </w:p>
    <w:p w:rsidR="00000000" w:rsidDel="00000000" w:rsidP="00000000" w:rsidRDefault="00000000" w:rsidRPr="00000000" w14:paraId="00000068">
      <w:pPr>
        <w:widowControl w:val="0"/>
        <w:rPr>
          <w:rFonts w:ascii="Titillium" w:cs="Titillium" w:eastAsia="Titillium" w:hAnsi="Titillium"/>
          <w:sz w:val="18"/>
          <w:szCs w:val="18"/>
          <w:highlight w:val="white"/>
        </w:rPr>
      </w:pPr>
      <w:r w:rsidDel="00000000" w:rsidR="00000000" w:rsidRPr="00000000">
        <w:rPr>
          <w:rFonts w:ascii="Titillium" w:cs="Titillium" w:eastAsia="Titillium" w:hAnsi="Titillium"/>
          <w:sz w:val="18"/>
          <w:szCs w:val="18"/>
          <w:highlight w:val="white"/>
          <w:rtl w:val="0"/>
        </w:rPr>
        <w:t xml:space="preserve">b) avere un domicilio digitale presente negli indici di cui agli articoli 6-bis e 6 ter del decreto legislativo 7 marzo 2005, n. 82 o, per l’operatore economico transfrontaliero, un indirizzo di servizio elettronico di recapito certificato qualificato ai sensi del Regolamento Eidas. Se l’operatore economico non è presente nei predetti indici elegge domicilio digitale speciale presso la stessa Piattaforma e le comunicazioni sono effettuate utilizzando tale domicilio digitale; </w:t>
      </w:r>
    </w:p>
    <w:p w:rsidR="00000000" w:rsidDel="00000000" w:rsidP="00000000" w:rsidRDefault="00000000" w:rsidRPr="00000000" w14:paraId="00000069">
      <w:pPr>
        <w:widowControl w:val="0"/>
        <w:rPr>
          <w:rFonts w:ascii="Titillium" w:cs="Titillium" w:eastAsia="Titillium" w:hAnsi="Titillium"/>
          <w:sz w:val="18"/>
          <w:szCs w:val="18"/>
          <w:highlight w:val="white"/>
        </w:rPr>
      </w:pPr>
      <w:r w:rsidDel="00000000" w:rsidR="00000000" w:rsidRPr="00000000">
        <w:rPr>
          <w:rFonts w:ascii="Titillium" w:cs="Titillium" w:eastAsia="Titillium" w:hAnsi="Titillium"/>
          <w:sz w:val="18"/>
          <w:szCs w:val="18"/>
          <w:highlight w:val="white"/>
          <w:rtl w:val="0"/>
        </w:rPr>
        <w:t xml:space="preserve">c) avere da parte del legale rappresentante dell’operatore economico (o da persona munita di idonei poteri di firma) un certificato di firma digitale, in corso di validità, rilasciato da un organismo incluso nell’elenco pubblico dei certificatori tenuto dall’Agenzia per l’Italia Digitale (previsto dall’articolo 29 del decreto legislativo n. 82/05) .</w:t>
      </w:r>
      <w:r w:rsidDel="00000000" w:rsidR="00000000" w:rsidRPr="00000000">
        <w:rPr>
          <w:rtl w:val="0"/>
        </w:rPr>
      </w:r>
    </w:p>
    <w:p w:rsidR="00000000" w:rsidDel="00000000" w:rsidP="00000000" w:rsidRDefault="00000000" w:rsidRPr="00000000" w14:paraId="0000006A">
      <w:pPr>
        <w:pStyle w:val="Heading3"/>
        <w:ind w:left="0" w:firstLine="0"/>
        <w:rPr>
          <w:rFonts w:ascii="Titillium" w:cs="Titillium" w:eastAsia="Titillium" w:hAnsi="Titillium"/>
          <w:smallCaps w:val="0"/>
          <w:sz w:val="18"/>
          <w:szCs w:val="18"/>
        </w:rPr>
      </w:pPr>
      <w:bookmarkStart w:colFirst="0" w:colLast="0" w:name="_26in1rg" w:id="4"/>
      <w:bookmarkEnd w:id="4"/>
      <w:r w:rsidDel="00000000" w:rsidR="00000000" w:rsidRPr="00000000">
        <w:rPr>
          <w:rFonts w:ascii="Titillium" w:cs="Titillium" w:eastAsia="Titillium" w:hAnsi="Titillium"/>
          <w:smallCaps w:val="0"/>
          <w:sz w:val="18"/>
          <w:szCs w:val="18"/>
          <w:rtl w:val="0"/>
        </w:rPr>
        <w:t xml:space="preserve">1.3 </w:t>
      </w:r>
      <w:r w:rsidDel="00000000" w:rsidR="00000000" w:rsidRPr="00000000">
        <w:rPr>
          <w:rFonts w:ascii="Titillium" w:cs="Titillium" w:eastAsia="Titillium" w:hAnsi="Titillium"/>
          <w:smallCaps w:val="0"/>
          <w:sz w:val="18"/>
          <w:szCs w:val="18"/>
          <w:rtl w:val="0"/>
        </w:rPr>
        <w:t xml:space="preserve">IDENTIFICAZIONE</w:t>
      </w:r>
    </w:p>
    <w:p w:rsidR="00000000" w:rsidDel="00000000" w:rsidP="00000000" w:rsidRDefault="00000000" w:rsidRPr="00000000" w14:paraId="0000006B">
      <w:pPr>
        <w:tabs>
          <w:tab w:val="left" w:leader="none" w:pos="0"/>
        </w:tabs>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Ai fini della partecipazione alla presente procedura è indispensabile essere registrati a SATER, secondo le modalità esplicitate nelle guide per l’utilizzo della piattaforma accessibili dal sito </w:t>
      </w:r>
      <w:hyperlink r:id="rId10">
        <w:r w:rsidDel="00000000" w:rsidR="00000000" w:rsidRPr="00000000">
          <w:rPr>
            <w:rFonts w:ascii="Titillium" w:cs="Titillium" w:eastAsia="Titillium" w:hAnsi="Titillium"/>
            <w:color w:val="1155cc"/>
            <w:sz w:val="18"/>
            <w:szCs w:val="18"/>
            <w:u w:val="single"/>
            <w:rtl w:val="0"/>
          </w:rPr>
          <w:t xml:space="preserve">http://intercenter.regione.emilia-romagna.it/help/guide</w:t>
        </w:r>
      </w:hyperlink>
      <w:r w:rsidDel="00000000" w:rsidR="00000000" w:rsidRPr="00000000">
        <w:rPr>
          <w:rFonts w:ascii="Titillium" w:cs="Titillium" w:eastAsia="Titillium" w:hAnsi="Titillium"/>
          <w:sz w:val="18"/>
          <w:szCs w:val="18"/>
          <w:rtl w:val="0"/>
        </w:rPr>
        <w:t xml:space="preserve"> . </w:t>
      </w:r>
    </w:p>
    <w:p w:rsidR="00000000" w:rsidDel="00000000" w:rsidP="00000000" w:rsidRDefault="00000000" w:rsidRPr="00000000" w14:paraId="0000006C">
      <w:pPr>
        <w:tabs>
          <w:tab w:val="left" w:leader="none" w:pos="0"/>
        </w:tabs>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registrazione a SATER deve essere richiesta unicamente dal legale rappresentante e/o procuratore generale o speciale e/o dal soggetto dotato dei necessari poteri per richiedere la registrazione e impegnare l’operatore economico medesimo. </w:t>
      </w:r>
    </w:p>
    <w:p w:rsidR="00000000" w:rsidDel="00000000" w:rsidP="00000000" w:rsidRDefault="00000000" w:rsidRPr="00000000" w14:paraId="0000006D">
      <w:pPr>
        <w:tabs>
          <w:tab w:val="left" w:leader="none" w:pos="0"/>
        </w:tabs>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L’operatore economico, con la registrazione e, comunque, con la presentazione dell’offerta, dà per valido e riconosce, senza contestazione alcuna, quanto posto in essere all’interno di SATER dall’account riconducibile all’operatore economico medesimo; ogni azione inerente all’account all’interno di SATER si intenderà, pertanto, direttamente e incontrovertibilmente imputabile all’operatore economico registrato. </w:t>
      </w:r>
    </w:p>
    <w:p w:rsidR="00000000" w:rsidDel="00000000" w:rsidP="00000000" w:rsidRDefault="00000000" w:rsidRPr="00000000" w14:paraId="0000006E">
      <w:pPr>
        <w:tabs>
          <w:tab w:val="left" w:leader="none" w:pos="0"/>
        </w:tabs>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Per poter presentare offerta è necessario accedere a SATER. </w:t>
      </w:r>
    </w:p>
    <w:p w:rsidR="00000000" w:rsidDel="00000000" w:rsidP="00000000" w:rsidRDefault="00000000" w:rsidRPr="00000000" w14:paraId="0000006F">
      <w:pPr>
        <w:tabs>
          <w:tab w:val="left" w:leader="none" w:pos="0"/>
        </w:tabs>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L’accesso è gratuito ed è consentito a seguito dell’identificazione dell’operatore economico. </w:t>
      </w:r>
    </w:p>
    <w:p w:rsidR="00000000" w:rsidDel="00000000" w:rsidP="00000000" w:rsidRDefault="00000000" w:rsidRPr="00000000" w14:paraId="00000070">
      <w:pPr>
        <w:tabs>
          <w:tab w:val="left" w:leader="none" w:pos="0"/>
        </w:tabs>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L’identificazione può avvenire mediante le credenziali rilasciate al momento della registrazione ovvero tramite il sistema pubblico per la gestione dell’identità digitale di cittadini e imprese (SPID) o tramite carta di identità elettronica. </w:t>
      </w:r>
    </w:p>
    <w:p w:rsidR="00000000" w:rsidDel="00000000" w:rsidP="00000000" w:rsidRDefault="00000000" w:rsidRPr="00000000" w14:paraId="00000071">
      <w:pPr>
        <w:tabs>
          <w:tab w:val="left" w:leader="none" w:pos="0"/>
        </w:tabs>
        <w:spacing w:after="60" w:before="60" w:lineRule="auto"/>
        <w:rPr>
          <w:rFonts w:ascii="Arial" w:cs="Arial" w:eastAsia="Arial" w:hAnsi="Arial"/>
          <w:sz w:val="18.000749588012695"/>
          <w:szCs w:val="18.000749588012695"/>
        </w:rPr>
      </w:pPr>
      <w:r w:rsidDel="00000000" w:rsidR="00000000" w:rsidRPr="00000000">
        <w:rPr>
          <w:rFonts w:ascii="Titillium" w:cs="Titillium" w:eastAsia="Titillium" w:hAnsi="Titillium"/>
          <w:sz w:val="18"/>
          <w:szCs w:val="18"/>
          <w:rtl w:val="0"/>
        </w:rPr>
        <w:t xml:space="preserve">Eventuali richieste di assistenza di tipo informatico riguardanti l’identificazione e l’accesso a SATER possono essere effettuate tramite Call Center che risponde ai numeri 800 810 799 (rete fissa) e 089 9712796 (rete mobile e dall’estero), lun-ven, ore 9-13 e 14-18. </w:t>
      </w:r>
      <w:r w:rsidDel="00000000" w:rsidR="00000000" w:rsidRPr="00000000">
        <w:rPr>
          <w:rtl w:val="0"/>
        </w:rPr>
      </w:r>
    </w:p>
    <w:p w:rsidR="00000000" w:rsidDel="00000000" w:rsidP="00000000" w:rsidRDefault="00000000" w:rsidRPr="00000000" w14:paraId="00000072">
      <w:pPr>
        <w:tabs>
          <w:tab w:val="left" w:leader="none" w:pos="0"/>
        </w:tabs>
        <w:spacing w:after="60" w:before="60" w:lineRule="auto"/>
        <w:rPr>
          <w:rFonts w:ascii="Titillium" w:cs="Titillium" w:eastAsia="Titillium" w:hAnsi="Titillium"/>
          <w:smallCaps w:val="0"/>
          <w:sz w:val="18"/>
          <w:szCs w:val="18"/>
        </w:rPr>
      </w:pPr>
      <w:r w:rsidDel="00000000" w:rsidR="00000000" w:rsidRPr="00000000">
        <w:rPr>
          <w:rtl w:val="0"/>
        </w:rPr>
      </w:r>
    </w:p>
    <w:p w:rsidR="00000000" w:rsidDel="00000000" w:rsidP="00000000" w:rsidRDefault="00000000" w:rsidRPr="00000000" w14:paraId="00000073">
      <w:pPr>
        <w:pStyle w:val="Heading1"/>
        <w:rPr/>
      </w:pPr>
      <w:bookmarkStart w:colFirst="0" w:colLast="0" w:name="_35nkun2" w:id="5"/>
      <w:bookmarkEnd w:id="5"/>
      <w:r w:rsidDel="00000000" w:rsidR="00000000" w:rsidRPr="00000000">
        <w:rPr>
          <w:rtl w:val="0"/>
        </w:rPr>
        <w:t xml:space="preserve">2 DOCUMENTAZIONE DI GARA, CHIARIMENTI E COMUNICAZIONI</w:t>
      </w:r>
    </w:p>
    <w:p w:rsidR="00000000" w:rsidDel="00000000" w:rsidP="00000000" w:rsidRDefault="00000000" w:rsidRPr="00000000" w14:paraId="00000074">
      <w:pPr>
        <w:pStyle w:val="Heading2"/>
        <w:rPr/>
      </w:pPr>
      <w:bookmarkStart w:colFirst="0" w:colLast="0" w:name="_ksg1kcxr9oca" w:id="6"/>
      <w:bookmarkEnd w:id="6"/>
      <w:r w:rsidDel="00000000" w:rsidR="00000000" w:rsidRPr="00000000">
        <w:rPr>
          <w:rtl w:val="0"/>
        </w:rPr>
        <w:t xml:space="preserve">2.1 DOCUMENTI DI GARA</w:t>
      </w:r>
    </w:p>
    <w:p w:rsidR="00000000" w:rsidDel="00000000" w:rsidP="00000000" w:rsidRDefault="00000000" w:rsidRPr="00000000" w14:paraId="00000075">
      <w:pPr>
        <w:spacing w:after="60" w:before="60" w:lineRule="auto"/>
        <w:rPr>
          <w:rFonts w:ascii="Titillium" w:cs="Titillium" w:eastAsia="Titillium" w:hAnsi="Titillium"/>
          <w:sz w:val="18"/>
          <w:szCs w:val="18"/>
        </w:rPr>
      </w:pPr>
      <w:r w:rsidDel="00000000" w:rsidR="00000000" w:rsidRPr="00000000">
        <w:rPr>
          <w:rtl w:val="0"/>
        </w:rPr>
      </w:r>
    </w:p>
    <w:p w:rsidR="00000000" w:rsidDel="00000000" w:rsidP="00000000" w:rsidRDefault="00000000" w:rsidRPr="00000000" w14:paraId="00000076">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documentazione di gara comprende:</w:t>
      </w:r>
    </w:p>
    <w:p w:rsidR="00000000" w:rsidDel="00000000" w:rsidP="00000000" w:rsidRDefault="00000000" w:rsidRPr="00000000" w14:paraId="00000077">
      <w:pPr>
        <w:widowControl w:val="0"/>
        <w:numPr>
          <w:ilvl w:val="3"/>
          <w:numId w:val="22"/>
        </w:numPr>
        <w:ind w:left="992.1259842519685" w:hanging="566.9291338582675"/>
        <w:jc w:val="left"/>
        <w:rPr>
          <w:rFonts w:ascii="Arial" w:cs="Arial" w:eastAsia="Arial" w:hAnsi="Arial"/>
          <w:sz w:val="18"/>
          <w:szCs w:val="18"/>
          <w:u w:val="none"/>
        </w:rPr>
      </w:pPr>
      <w:r w:rsidDel="00000000" w:rsidR="00000000" w:rsidRPr="00000000">
        <w:rPr>
          <w:rFonts w:ascii="Arial" w:cs="Arial" w:eastAsia="Arial" w:hAnsi="Arial"/>
          <w:sz w:val="18"/>
          <w:szCs w:val="18"/>
          <w:rtl w:val="0"/>
        </w:rPr>
        <w:t xml:space="preserve">Disciplinare di gara, redatto secondo il Bando Tipo n.1/2023, aggiornato con delibera ANAC n. 309 del 27/06/2023; </w:t>
      </w:r>
    </w:p>
    <w:p w:rsidR="00000000" w:rsidDel="00000000" w:rsidP="00000000" w:rsidRDefault="00000000" w:rsidRPr="00000000" w14:paraId="00000078">
      <w:pPr>
        <w:widowControl w:val="0"/>
        <w:numPr>
          <w:ilvl w:val="3"/>
          <w:numId w:val="22"/>
        </w:numPr>
        <w:ind w:left="992.1259842519685" w:hanging="566.9291338582675"/>
        <w:jc w:val="left"/>
        <w:rPr>
          <w:rFonts w:ascii="Arial" w:cs="Arial" w:eastAsia="Arial" w:hAnsi="Arial"/>
          <w:sz w:val="18"/>
          <w:szCs w:val="18"/>
          <w:u w:val="none"/>
        </w:rPr>
      </w:pPr>
      <w:r w:rsidDel="00000000" w:rsidR="00000000" w:rsidRPr="00000000">
        <w:rPr>
          <w:rFonts w:ascii="Arial" w:cs="Arial" w:eastAsia="Arial" w:hAnsi="Arial"/>
          <w:sz w:val="18"/>
          <w:szCs w:val="18"/>
          <w:rtl w:val="0"/>
        </w:rPr>
        <w:t xml:space="preserve">Capitolato speciale e relativi allegati</w:t>
      </w:r>
    </w:p>
    <w:p w:rsidR="00000000" w:rsidDel="00000000" w:rsidP="00000000" w:rsidRDefault="00000000" w:rsidRPr="00000000" w14:paraId="00000079">
      <w:pPr>
        <w:widowControl w:val="0"/>
        <w:ind w:left="992.1259842519685" w:firstLine="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      2.1 sedi, numero e tipologia distributori automatici ;</w:t>
      </w:r>
    </w:p>
    <w:p w:rsidR="00000000" w:rsidDel="00000000" w:rsidP="00000000" w:rsidRDefault="00000000" w:rsidRPr="00000000" w14:paraId="0000007A">
      <w:pPr>
        <w:widowControl w:val="0"/>
        <w:ind w:left="992.1259842519685" w:firstLine="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      2.2 n. 3 planimetrie lotto 1 (una per ogni sede)</w:t>
      </w:r>
    </w:p>
    <w:p w:rsidR="00000000" w:rsidDel="00000000" w:rsidP="00000000" w:rsidRDefault="00000000" w:rsidRPr="00000000" w14:paraId="0000007B">
      <w:pPr>
        <w:widowControl w:val="0"/>
        <w:ind w:left="992.1259842519685" w:firstLine="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      2.3 n. 4 planimetrie lotto 2 (una per ogni sede)</w:t>
        <w:br w:type="textWrapping"/>
        <w:t xml:space="preserve">      2.4 n. 6 planimetrie lotto 3 (una per ogni sede)</w:t>
        <w:br w:type="textWrapping"/>
        <w:t xml:space="preserve">      2.5 n. 5 planimetrie lotto 4 (una per ogni sede)</w:t>
      </w:r>
    </w:p>
    <w:p w:rsidR="00000000" w:rsidDel="00000000" w:rsidP="00000000" w:rsidRDefault="00000000" w:rsidRPr="00000000" w14:paraId="0000007C">
      <w:pPr>
        <w:widowControl w:val="0"/>
        <w:numPr>
          <w:ilvl w:val="3"/>
          <w:numId w:val="22"/>
        </w:numPr>
        <w:ind w:left="992.1259842519685" w:hanging="566.9291338582675"/>
        <w:jc w:val="left"/>
        <w:rPr>
          <w:rFonts w:ascii="Arial" w:cs="Arial" w:eastAsia="Arial" w:hAnsi="Arial"/>
          <w:sz w:val="18"/>
          <w:szCs w:val="18"/>
          <w:u w:val="none"/>
        </w:rPr>
      </w:pPr>
      <w:r w:rsidDel="00000000" w:rsidR="00000000" w:rsidRPr="00000000">
        <w:rPr>
          <w:rFonts w:ascii="Arial" w:cs="Arial" w:eastAsia="Arial" w:hAnsi="Arial"/>
          <w:sz w:val="18"/>
          <w:szCs w:val="18"/>
          <w:rtl w:val="0"/>
        </w:rPr>
        <w:t xml:space="preserve">Schema di contratto;</w:t>
      </w:r>
    </w:p>
    <w:p w:rsidR="00000000" w:rsidDel="00000000" w:rsidP="00000000" w:rsidRDefault="00000000" w:rsidRPr="00000000" w14:paraId="0000007D">
      <w:pPr>
        <w:widowControl w:val="0"/>
        <w:numPr>
          <w:ilvl w:val="3"/>
          <w:numId w:val="22"/>
        </w:numPr>
        <w:ind w:left="992.1259842519685" w:hanging="566.9291338582675"/>
        <w:jc w:val="left"/>
        <w:rPr>
          <w:rFonts w:ascii="Arial" w:cs="Arial" w:eastAsia="Arial" w:hAnsi="Arial"/>
          <w:sz w:val="18"/>
          <w:szCs w:val="18"/>
          <w:u w:val="none"/>
        </w:rPr>
      </w:pPr>
      <w:r w:rsidDel="00000000" w:rsidR="00000000" w:rsidRPr="00000000">
        <w:rPr>
          <w:rFonts w:ascii="Arial" w:cs="Arial" w:eastAsia="Arial" w:hAnsi="Arial"/>
          <w:sz w:val="18"/>
          <w:szCs w:val="18"/>
          <w:rtl w:val="0"/>
        </w:rPr>
        <w:t xml:space="preserve">Domanda di partecipazione; </w:t>
      </w:r>
    </w:p>
    <w:p w:rsidR="00000000" w:rsidDel="00000000" w:rsidP="00000000" w:rsidRDefault="00000000" w:rsidRPr="00000000" w14:paraId="0000007E">
      <w:pPr>
        <w:widowControl w:val="0"/>
        <w:numPr>
          <w:ilvl w:val="3"/>
          <w:numId w:val="22"/>
        </w:numPr>
        <w:ind w:left="992.1259842519685" w:hanging="566.9291338582675"/>
        <w:jc w:val="left"/>
        <w:rPr>
          <w:rFonts w:ascii="Arial" w:cs="Arial" w:eastAsia="Arial" w:hAnsi="Arial"/>
          <w:sz w:val="18"/>
          <w:szCs w:val="18"/>
          <w:u w:val="none"/>
        </w:rPr>
      </w:pPr>
      <w:r w:rsidDel="00000000" w:rsidR="00000000" w:rsidRPr="00000000">
        <w:rPr>
          <w:rFonts w:ascii="Arial" w:cs="Arial" w:eastAsia="Arial" w:hAnsi="Arial"/>
          <w:sz w:val="18"/>
          <w:szCs w:val="18"/>
          <w:rtl w:val="0"/>
        </w:rPr>
        <w:t xml:space="preserve">DGUE strutturato; </w:t>
      </w:r>
    </w:p>
    <w:p w:rsidR="00000000" w:rsidDel="00000000" w:rsidP="00000000" w:rsidRDefault="00000000" w:rsidRPr="00000000" w14:paraId="0000007F">
      <w:pPr>
        <w:widowControl w:val="0"/>
        <w:numPr>
          <w:ilvl w:val="3"/>
          <w:numId w:val="22"/>
        </w:numPr>
        <w:ind w:left="992.1259842519685" w:hanging="566.9291338582675"/>
        <w:jc w:val="left"/>
        <w:rPr>
          <w:rFonts w:ascii="Arial" w:cs="Arial" w:eastAsia="Arial" w:hAnsi="Arial"/>
          <w:sz w:val="18"/>
          <w:szCs w:val="18"/>
          <w:u w:val="none"/>
        </w:rPr>
      </w:pPr>
      <w:r w:rsidDel="00000000" w:rsidR="00000000" w:rsidRPr="00000000">
        <w:rPr>
          <w:rFonts w:ascii="Arial" w:cs="Arial" w:eastAsia="Arial" w:hAnsi="Arial"/>
          <w:sz w:val="18"/>
          <w:szCs w:val="18"/>
          <w:rtl w:val="0"/>
        </w:rPr>
        <w:t xml:space="preserve">dichiarazioni di offerta economica lotto 1 </w:t>
      </w:r>
    </w:p>
    <w:p w:rsidR="00000000" w:rsidDel="00000000" w:rsidP="00000000" w:rsidRDefault="00000000" w:rsidRPr="00000000" w14:paraId="00000080">
      <w:pPr>
        <w:widowControl w:val="0"/>
        <w:numPr>
          <w:ilvl w:val="3"/>
          <w:numId w:val="22"/>
        </w:numPr>
        <w:ind w:left="992.1259842519685" w:hanging="566.9291338582675"/>
        <w:jc w:val="left"/>
        <w:rPr>
          <w:rFonts w:ascii="Arial" w:cs="Arial" w:eastAsia="Arial" w:hAnsi="Arial"/>
          <w:sz w:val="18"/>
          <w:szCs w:val="18"/>
          <w:u w:val="none"/>
        </w:rPr>
      </w:pPr>
      <w:r w:rsidDel="00000000" w:rsidR="00000000" w:rsidRPr="00000000">
        <w:rPr>
          <w:rFonts w:ascii="Arial" w:cs="Arial" w:eastAsia="Arial" w:hAnsi="Arial"/>
          <w:sz w:val="18"/>
          <w:szCs w:val="18"/>
          <w:rtl w:val="0"/>
        </w:rPr>
        <w:t xml:space="preserve">dichiarazioni di offerta economica lotto 2</w:t>
      </w:r>
    </w:p>
    <w:p w:rsidR="00000000" w:rsidDel="00000000" w:rsidP="00000000" w:rsidRDefault="00000000" w:rsidRPr="00000000" w14:paraId="00000081">
      <w:pPr>
        <w:widowControl w:val="0"/>
        <w:numPr>
          <w:ilvl w:val="3"/>
          <w:numId w:val="22"/>
        </w:numPr>
        <w:ind w:left="992.1259842519685" w:hanging="566.9291338582675"/>
        <w:jc w:val="left"/>
        <w:rPr>
          <w:rFonts w:ascii="Arial" w:cs="Arial" w:eastAsia="Arial" w:hAnsi="Arial"/>
          <w:sz w:val="18"/>
          <w:szCs w:val="18"/>
          <w:u w:val="none"/>
        </w:rPr>
      </w:pPr>
      <w:r w:rsidDel="00000000" w:rsidR="00000000" w:rsidRPr="00000000">
        <w:rPr>
          <w:rFonts w:ascii="Arial" w:cs="Arial" w:eastAsia="Arial" w:hAnsi="Arial"/>
          <w:sz w:val="18"/>
          <w:szCs w:val="18"/>
          <w:rtl w:val="0"/>
        </w:rPr>
        <w:t xml:space="preserve">dichiarazioni di offerta economica lotto 3</w:t>
      </w:r>
    </w:p>
    <w:p w:rsidR="00000000" w:rsidDel="00000000" w:rsidP="00000000" w:rsidRDefault="00000000" w:rsidRPr="00000000" w14:paraId="00000082">
      <w:pPr>
        <w:widowControl w:val="0"/>
        <w:numPr>
          <w:ilvl w:val="3"/>
          <w:numId w:val="22"/>
        </w:numPr>
        <w:ind w:left="992.1259842519685" w:hanging="566.9291338582675"/>
        <w:jc w:val="left"/>
        <w:rPr>
          <w:rFonts w:ascii="Arial" w:cs="Arial" w:eastAsia="Arial" w:hAnsi="Arial"/>
          <w:sz w:val="18"/>
          <w:szCs w:val="18"/>
          <w:u w:val="none"/>
        </w:rPr>
      </w:pPr>
      <w:r w:rsidDel="00000000" w:rsidR="00000000" w:rsidRPr="00000000">
        <w:rPr>
          <w:rFonts w:ascii="Arial" w:cs="Arial" w:eastAsia="Arial" w:hAnsi="Arial"/>
          <w:sz w:val="18"/>
          <w:szCs w:val="18"/>
          <w:rtl w:val="0"/>
        </w:rPr>
        <w:t xml:space="preserve">dichiarazioni di offerta economica lotto 4;</w:t>
      </w:r>
    </w:p>
    <w:p w:rsidR="00000000" w:rsidDel="00000000" w:rsidP="00000000" w:rsidRDefault="00000000" w:rsidRPr="00000000" w14:paraId="00000083">
      <w:pPr>
        <w:widowControl w:val="0"/>
        <w:numPr>
          <w:ilvl w:val="3"/>
          <w:numId w:val="22"/>
        </w:numPr>
        <w:ind w:left="992.1259842519685" w:hanging="566.9291338582675"/>
        <w:jc w:val="left"/>
        <w:rPr>
          <w:rFonts w:ascii="Arial" w:cs="Arial" w:eastAsia="Arial" w:hAnsi="Arial"/>
          <w:sz w:val="18"/>
          <w:szCs w:val="18"/>
        </w:rPr>
      </w:pPr>
      <w:r w:rsidDel="00000000" w:rsidR="00000000" w:rsidRPr="00000000">
        <w:rPr>
          <w:rFonts w:ascii="Titillium" w:cs="Titillium" w:eastAsia="Titillium" w:hAnsi="Titillium"/>
          <w:sz w:val="18"/>
          <w:szCs w:val="18"/>
          <w:rtl w:val="0"/>
        </w:rPr>
        <w:t xml:space="preserve">patto di integrità approvato con delibera n.6 del </w:t>
      </w:r>
      <w:r w:rsidDel="00000000" w:rsidR="00000000" w:rsidRPr="00000000">
        <w:rPr>
          <w:rFonts w:ascii="Titillium" w:cs="Titillium" w:eastAsia="Titillium" w:hAnsi="Titillium"/>
          <w:sz w:val="18"/>
          <w:szCs w:val="18"/>
          <w:rtl w:val="0"/>
        </w:rPr>
        <w:t xml:space="preserve">31/1/2024.</w:t>
      </w:r>
      <w:r w:rsidDel="00000000" w:rsidR="00000000" w:rsidRPr="00000000">
        <w:rPr>
          <w:rFonts w:ascii="Titillium" w:cs="Titillium" w:eastAsia="Titillium" w:hAnsi="Titillium"/>
          <w:sz w:val="18"/>
          <w:szCs w:val="18"/>
          <w:rtl w:val="0"/>
        </w:rPr>
        <w:t xml:space="preserve"> </w:t>
      </w:r>
      <w:r w:rsidDel="00000000" w:rsidR="00000000" w:rsidRPr="00000000">
        <w:rPr>
          <w:rtl w:val="0"/>
        </w:rPr>
      </w:r>
    </w:p>
    <w:p w:rsidR="00000000" w:rsidDel="00000000" w:rsidP="00000000" w:rsidRDefault="00000000" w:rsidRPr="00000000" w14:paraId="00000084">
      <w:pPr>
        <w:widowControl w:val="0"/>
        <w:numPr>
          <w:ilvl w:val="3"/>
          <w:numId w:val="22"/>
        </w:numPr>
        <w:ind w:left="992.1259842519685" w:hanging="566.9291338582675"/>
        <w:jc w:val="left"/>
        <w:rPr>
          <w:rFonts w:ascii="Arial" w:cs="Arial" w:eastAsia="Arial" w:hAnsi="Arial"/>
          <w:sz w:val="18"/>
          <w:szCs w:val="18"/>
          <w:u w:val="none"/>
        </w:rPr>
      </w:pPr>
      <w:r w:rsidDel="00000000" w:rsidR="00000000" w:rsidRPr="00000000">
        <w:rPr>
          <w:rFonts w:ascii="Arial" w:cs="Arial" w:eastAsia="Arial" w:hAnsi="Arial"/>
          <w:sz w:val="18"/>
          <w:szCs w:val="18"/>
          <w:rtl w:val="0"/>
        </w:rPr>
        <w:t xml:space="preserve">Documento informativo della sicurezza</w:t>
      </w:r>
    </w:p>
    <w:p w:rsidR="00000000" w:rsidDel="00000000" w:rsidP="00000000" w:rsidRDefault="00000000" w:rsidRPr="00000000" w14:paraId="00000085">
      <w:pPr>
        <w:widowControl w:val="0"/>
        <w:numPr>
          <w:ilvl w:val="3"/>
          <w:numId w:val="22"/>
        </w:numPr>
        <w:ind w:left="992.1259842519685" w:hanging="566.9291338582675"/>
        <w:jc w:val="left"/>
        <w:rPr>
          <w:rFonts w:ascii="Arial" w:cs="Arial" w:eastAsia="Arial" w:hAnsi="Arial"/>
          <w:sz w:val="18"/>
          <w:szCs w:val="18"/>
          <w:u w:val="none"/>
        </w:rPr>
      </w:pPr>
      <w:r w:rsidDel="00000000" w:rsidR="00000000" w:rsidRPr="00000000">
        <w:rPr>
          <w:rFonts w:ascii="Arial" w:cs="Arial" w:eastAsia="Arial" w:hAnsi="Arial"/>
          <w:sz w:val="18"/>
          <w:szCs w:val="18"/>
          <w:rtl w:val="0"/>
        </w:rPr>
        <w:t xml:space="preserve">DUVRI</w:t>
      </w:r>
    </w:p>
    <w:p w:rsidR="00000000" w:rsidDel="00000000" w:rsidP="00000000" w:rsidRDefault="00000000" w:rsidRPr="00000000" w14:paraId="00000086">
      <w:pPr>
        <w:widowControl w:val="0"/>
        <w:numPr>
          <w:ilvl w:val="3"/>
          <w:numId w:val="22"/>
        </w:numPr>
        <w:ind w:left="992.1259842519685" w:hanging="566.9291338582675"/>
        <w:jc w:val="left"/>
        <w:rPr>
          <w:rFonts w:ascii="Arial" w:cs="Arial" w:eastAsia="Arial" w:hAnsi="Arial"/>
          <w:sz w:val="18"/>
          <w:szCs w:val="18"/>
          <w:u w:val="none"/>
        </w:rPr>
      </w:pPr>
      <w:r w:rsidDel="00000000" w:rsidR="00000000" w:rsidRPr="00000000">
        <w:rPr>
          <w:rFonts w:ascii="Arial" w:cs="Arial" w:eastAsia="Arial" w:hAnsi="Arial"/>
          <w:color w:val="000000"/>
          <w:sz w:val="18"/>
          <w:szCs w:val="18"/>
          <w:rtl w:val="0"/>
        </w:rPr>
        <w:t xml:space="preserve">istruzioni</w:t>
      </w:r>
      <w:r w:rsidDel="00000000" w:rsidR="00000000" w:rsidRPr="00000000">
        <w:rPr>
          <w:rFonts w:ascii="Titillium" w:cs="Titillium" w:eastAsia="Titillium" w:hAnsi="Titillium"/>
          <w:color w:val="000000"/>
          <w:sz w:val="18"/>
          <w:szCs w:val="18"/>
          <w:rtl w:val="0"/>
        </w:rPr>
        <w:t xml:space="preserve"> operative per accedere alla Piattaforma e regole tecniche per l’utilizzo della stessa reperibili al seguente link: </w:t>
      </w:r>
      <w:hyperlink r:id="rId11">
        <w:r w:rsidDel="00000000" w:rsidR="00000000" w:rsidRPr="00000000">
          <w:rPr>
            <w:rFonts w:ascii="Titillium" w:cs="Titillium" w:eastAsia="Titillium" w:hAnsi="Titillium"/>
            <w:i w:val="1"/>
            <w:color w:val="1155cc"/>
            <w:sz w:val="18"/>
            <w:szCs w:val="18"/>
            <w:u w:val="single"/>
            <w:rtl w:val="0"/>
          </w:rPr>
          <w:t xml:space="preserve">https://intercenter.regione.emilia-romagna.it/help/guide</w:t>
        </w:r>
      </w:hyperlink>
      <w:r w:rsidDel="00000000" w:rsidR="00000000" w:rsidRPr="00000000">
        <w:rPr>
          <w:rFonts w:ascii="Titillium" w:cs="Titillium" w:eastAsia="Titillium" w:hAnsi="Titillium"/>
          <w:i w:val="1"/>
          <w:sz w:val="18"/>
          <w:szCs w:val="18"/>
          <w:rtl w:val="0"/>
        </w:rPr>
        <w:t xml:space="preserve">  . </w:t>
      </w:r>
      <w:r w:rsidDel="00000000" w:rsidR="00000000" w:rsidRPr="00000000">
        <w:rPr>
          <w:rFonts w:ascii="Titillium" w:cs="Titillium" w:eastAsia="Titillium" w:hAnsi="Titillium"/>
          <w:sz w:val="18"/>
          <w:szCs w:val="18"/>
          <w:rtl w:val="0"/>
        </w:rPr>
        <w:t xml:space="preserve"> </w:t>
      </w:r>
      <w:r w:rsidDel="00000000" w:rsidR="00000000" w:rsidRPr="00000000">
        <w:rPr>
          <w:rtl w:val="0"/>
        </w:rPr>
      </w:r>
    </w:p>
    <w:p w:rsidR="00000000" w:rsidDel="00000000" w:rsidP="00000000" w:rsidRDefault="00000000" w:rsidRPr="00000000" w14:paraId="00000087">
      <w:pPr>
        <w:spacing w:after="60" w:before="60" w:lineRule="auto"/>
        <w:rPr>
          <w:rFonts w:ascii="Arial" w:cs="Arial" w:eastAsia="Arial" w:hAnsi="Arial"/>
          <w:sz w:val="18.000749588012695"/>
          <w:szCs w:val="18.000749588012695"/>
          <w:highlight w:val="white"/>
        </w:rPr>
      </w:pPr>
      <w:r w:rsidDel="00000000" w:rsidR="00000000" w:rsidRPr="00000000">
        <w:rPr>
          <w:rFonts w:ascii="Titillium" w:cs="Titillium" w:eastAsia="Titillium" w:hAnsi="Titillium"/>
          <w:sz w:val="18"/>
          <w:szCs w:val="18"/>
          <w:rtl w:val="0"/>
        </w:rPr>
        <w:t xml:space="preserve">La documentazione di gara è accessibile gratuitamente, sul sito istituzionale della stazione appaltante, nella sezione “Amministrazione trasparente”, al seguente link: </w:t>
      </w:r>
      <w:hyperlink r:id="rId12">
        <w:r w:rsidDel="00000000" w:rsidR="00000000" w:rsidRPr="00000000">
          <w:rPr>
            <w:rFonts w:ascii="Arial" w:cs="Arial" w:eastAsia="Arial" w:hAnsi="Arial"/>
            <w:color w:val="1155cc"/>
            <w:sz w:val="18"/>
            <w:szCs w:val="18"/>
            <w:highlight w:val="white"/>
            <w:u w:val="single"/>
            <w:rtl w:val="0"/>
          </w:rPr>
          <w:t xml:space="preserve">http://www .arpae.it</w:t>
        </w:r>
      </w:hyperlink>
      <w:r w:rsidDel="00000000" w:rsidR="00000000" w:rsidRPr="00000000">
        <w:rPr>
          <w:rFonts w:ascii="Arial" w:cs="Arial" w:eastAsia="Arial" w:hAnsi="Arial"/>
          <w:sz w:val="18"/>
          <w:szCs w:val="18"/>
          <w:highlight w:val="white"/>
          <w:rtl w:val="0"/>
        </w:rPr>
        <w:t xml:space="preserve">  </w:t>
      </w:r>
      <w:r w:rsidDel="00000000" w:rsidR="00000000" w:rsidRPr="00000000">
        <w:rPr>
          <w:rFonts w:ascii="Arial" w:cs="Arial" w:eastAsia="Arial" w:hAnsi="Arial"/>
          <w:sz w:val="18.000749588012695"/>
          <w:szCs w:val="18.000749588012695"/>
          <w:highlight w:val="white"/>
          <w:rtl w:val="0"/>
        </w:rPr>
        <w:t xml:space="preserve">e sulla Piattaforma </w:t>
      </w:r>
      <w:hyperlink r:id="rId13">
        <w:r w:rsidDel="00000000" w:rsidR="00000000" w:rsidRPr="00000000">
          <w:rPr>
            <w:rFonts w:ascii="Arial" w:cs="Arial" w:eastAsia="Arial" w:hAnsi="Arial"/>
            <w:color w:val="1155cc"/>
            <w:sz w:val="18.000749588012695"/>
            <w:szCs w:val="18.000749588012695"/>
            <w:highlight w:val="white"/>
            <w:u w:val="single"/>
            <w:rtl w:val="0"/>
          </w:rPr>
          <w:t xml:space="preserve">https://intercenter.regione.emilia-romagna.it/servizi-imprese/bandi-altri-enti/bandi-e-avvisi-altri-enti</w:t>
        </w:r>
      </w:hyperlink>
      <w:r w:rsidDel="00000000" w:rsidR="00000000" w:rsidRPr="00000000">
        <w:rPr>
          <w:rFonts w:ascii="Arial" w:cs="Arial" w:eastAsia="Arial" w:hAnsi="Arial"/>
          <w:sz w:val="18.000749588012695"/>
          <w:szCs w:val="18.000749588012695"/>
          <w:highlight w:val="white"/>
          <w:rtl w:val="0"/>
        </w:rPr>
        <w:t xml:space="preserve">  </w:t>
      </w:r>
    </w:p>
    <w:p w:rsidR="00000000" w:rsidDel="00000000" w:rsidP="00000000" w:rsidRDefault="00000000" w:rsidRPr="00000000" w14:paraId="00000088">
      <w:pPr>
        <w:spacing w:after="60" w:before="60" w:lineRule="auto"/>
        <w:rPr>
          <w:rFonts w:ascii="Titillium" w:cs="Titillium" w:eastAsia="Titillium" w:hAnsi="Titillium"/>
          <w:i w:val="1"/>
          <w:sz w:val="18"/>
          <w:szCs w:val="18"/>
        </w:rPr>
      </w:pPr>
      <w:r w:rsidDel="00000000" w:rsidR="00000000" w:rsidRPr="00000000">
        <w:rPr>
          <w:rtl w:val="0"/>
        </w:rPr>
      </w:r>
    </w:p>
    <w:p w:rsidR="00000000" w:rsidDel="00000000" w:rsidP="00000000" w:rsidRDefault="00000000" w:rsidRPr="00000000" w14:paraId="00000089">
      <w:pPr>
        <w:pStyle w:val="Heading2"/>
        <w:keepNext w:val="1"/>
        <w:keepLines w:val="0"/>
        <w:pageBreakBefore w:val="0"/>
        <w:widowControl w:val="1"/>
        <w:pBdr>
          <w:top w:space="0" w:sz="0" w:val="nil"/>
          <w:left w:space="0" w:sz="0" w:val="nil"/>
          <w:bottom w:space="0" w:sz="0" w:val="nil"/>
          <w:right w:space="0" w:sz="0" w:val="nil"/>
          <w:between w:space="0" w:sz="0" w:val="nil"/>
        </w:pBdr>
        <w:shd w:fill="auto" w:val="clear"/>
        <w:spacing w:after="60" w:before="240" w:line="276" w:lineRule="auto"/>
        <w:ind w:left="0" w:right="0" w:firstLine="0"/>
        <w:jc w:val="both"/>
        <w:rPr>
          <w:rFonts w:ascii="Titillium" w:cs="Titillium" w:eastAsia="Titillium" w:hAnsi="Titillium"/>
          <w:smallCaps w:val="0"/>
          <w:sz w:val="18"/>
          <w:szCs w:val="18"/>
        </w:rPr>
      </w:pPr>
      <w:bookmarkStart w:colFirst="0" w:colLast="0" w:name="_ix1lo5fnfs6a" w:id="7"/>
      <w:bookmarkEnd w:id="7"/>
      <w:r w:rsidDel="00000000" w:rsidR="00000000" w:rsidRPr="00000000">
        <w:rPr>
          <w:rtl w:val="0"/>
        </w:rPr>
        <w:t xml:space="preserve">2.2</w:t>
      </w:r>
      <w:r w:rsidDel="00000000" w:rsidR="00000000" w:rsidRPr="00000000">
        <w:rPr>
          <w:rFonts w:ascii="Titillium" w:cs="Titillium" w:eastAsia="Titillium" w:hAnsi="Titillium"/>
          <w:smallCaps w:val="0"/>
          <w:sz w:val="18"/>
          <w:szCs w:val="18"/>
          <w:rtl w:val="0"/>
        </w:rPr>
        <w:t xml:space="preserve"> CHIARIMENTI</w:t>
      </w:r>
    </w:p>
    <w:p w:rsidR="00000000" w:rsidDel="00000000" w:rsidP="00000000" w:rsidRDefault="00000000" w:rsidRPr="00000000" w14:paraId="0000008A">
      <w:pPr>
        <w:spacing w:after="60" w:before="60" w:lineRule="auto"/>
        <w:rPr/>
      </w:pPr>
      <w:r w:rsidDel="00000000" w:rsidR="00000000" w:rsidRPr="00000000">
        <w:rPr>
          <w:rFonts w:ascii="Titillium" w:cs="Titillium" w:eastAsia="Titillium" w:hAnsi="Titillium"/>
          <w:sz w:val="18"/>
          <w:szCs w:val="18"/>
          <w:rtl w:val="0"/>
        </w:rPr>
        <w:t xml:space="preserve">È possibile ottenere chiarimenti sulla presente procedura mediante la proposizione di quesiti scritti da inoltrare almeno 10 giorni prima della scadenza del termine fissato per la presentazione delle offerte in via telematica attraverso la sezione della Piattaforma riservata alle richieste di chiarimenti  sezione “Chiarimenti”, previa registrazione alla Piattaforma stessa.</w:t>
      </w:r>
      <w:r w:rsidDel="00000000" w:rsidR="00000000" w:rsidRPr="00000000">
        <w:rPr>
          <w:rtl w:val="0"/>
        </w:rPr>
      </w:r>
    </w:p>
    <w:p w:rsidR="00000000" w:rsidDel="00000000" w:rsidP="00000000" w:rsidRDefault="00000000" w:rsidRPr="00000000" w14:paraId="0000008B">
      <w:pPr>
        <w:spacing w:after="60" w:before="60" w:lineRule="auto"/>
        <w:rPr>
          <w:rFonts w:ascii="Titillium" w:cs="Titillium" w:eastAsia="Titillium" w:hAnsi="Titillium"/>
          <w:i w:val="1"/>
          <w:sz w:val="18"/>
          <w:szCs w:val="18"/>
        </w:rPr>
      </w:pPr>
      <w:r w:rsidDel="00000000" w:rsidR="00000000" w:rsidRPr="00000000">
        <w:rPr>
          <w:rFonts w:ascii="Titillium" w:cs="Titillium" w:eastAsia="Titillium" w:hAnsi="Titillium"/>
          <w:sz w:val="18"/>
          <w:szCs w:val="18"/>
          <w:rtl w:val="0"/>
        </w:rPr>
        <w:t xml:space="preserve">Le richieste di chiarimenti e le relative risposte sono formulate esclusivamente in lingua italiana. Le richieste di chiarimenti e le relative risposte sono formulate in lingua italiana .</w:t>
      </w:r>
      <w:r w:rsidDel="00000000" w:rsidR="00000000" w:rsidRPr="00000000">
        <w:rPr>
          <w:rtl w:val="0"/>
        </w:rPr>
      </w:r>
    </w:p>
    <w:p w:rsidR="00000000" w:rsidDel="00000000" w:rsidP="00000000" w:rsidRDefault="00000000" w:rsidRPr="00000000" w14:paraId="0000008C">
      <w:pPr>
        <w:spacing w:after="60" w:before="60" w:lineRule="auto"/>
        <w:rPr/>
      </w:pPr>
      <w:r w:rsidDel="00000000" w:rsidR="00000000" w:rsidRPr="00000000">
        <w:rPr>
          <w:rFonts w:ascii="Titillium" w:cs="Titillium" w:eastAsia="Titillium" w:hAnsi="Titillium"/>
          <w:sz w:val="18"/>
          <w:szCs w:val="18"/>
          <w:rtl w:val="0"/>
        </w:rPr>
        <w:t xml:space="preserve">Le risposte alle richieste di chiarimenti presentate in tempo utile sono fornite in formato elettronico almeno 6 giorni prima della scadenza del termine fissato per la presentazione delle offerte, mediante pubblicazione delle richieste in forma anonima e delle relative risposte sulla Piattaforma </w:t>
      </w:r>
      <w:hyperlink r:id="rId14">
        <w:r w:rsidDel="00000000" w:rsidR="00000000" w:rsidRPr="00000000">
          <w:rPr>
            <w:rFonts w:ascii="Arial" w:cs="Arial" w:eastAsia="Arial" w:hAnsi="Arial"/>
            <w:color w:val="1155cc"/>
            <w:sz w:val="18.000749588012695"/>
            <w:szCs w:val="18.000749588012695"/>
            <w:u w:val="single"/>
            <w:rtl w:val="0"/>
          </w:rPr>
          <w:t xml:space="preserve">https://intercenter.regione.emilia-romagna.it/servizi-imprese/bandi-altri-enti/bandi-e-avvisi-altri-enti</w:t>
        </w:r>
      </w:hyperlink>
      <w:r w:rsidDel="00000000" w:rsidR="00000000" w:rsidRPr="00000000">
        <w:rPr>
          <w:rFonts w:ascii="Arial" w:cs="Arial" w:eastAsia="Arial" w:hAnsi="Arial"/>
          <w:sz w:val="18.000749588012695"/>
          <w:szCs w:val="18.000749588012695"/>
          <w:highlight w:val="white"/>
          <w:rtl w:val="0"/>
        </w:rPr>
        <w:br w:type="textWrapping"/>
      </w:r>
      <w:r w:rsidDel="00000000" w:rsidR="00000000" w:rsidRPr="00000000">
        <w:rPr>
          <w:rFonts w:ascii="Arial" w:cs="Arial" w:eastAsia="Arial" w:hAnsi="Arial"/>
          <w:sz w:val="18.000749588012695"/>
          <w:szCs w:val="18.000749588012695"/>
          <w:highlight w:val="white"/>
          <w:rtl w:val="0"/>
        </w:rPr>
        <w:t xml:space="preserve">e sul sito istituzionale .</w:t>
      </w:r>
      <w:hyperlink r:id="rId15">
        <w:r w:rsidDel="00000000" w:rsidR="00000000" w:rsidRPr="00000000">
          <w:rPr>
            <w:rFonts w:ascii="Arial" w:cs="Arial" w:eastAsia="Arial" w:hAnsi="Arial"/>
            <w:color w:val="1155cc"/>
            <w:sz w:val="18.000749588012695"/>
            <w:szCs w:val="18.000749588012695"/>
            <w:u w:val="single"/>
            <w:rtl w:val="0"/>
          </w:rPr>
          <w:t xml:space="preserve">https://www.arpae.it/it/bandi-gara/bandi-di-servizi</w:t>
        </w:r>
      </w:hyperlink>
      <w:r w:rsidDel="00000000" w:rsidR="00000000" w:rsidRPr="00000000">
        <w:rPr>
          <w:rFonts w:ascii="Arial" w:cs="Arial" w:eastAsia="Arial" w:hAnsi="Arial"/>
          <w:sz w:val="18.000749588012695"/>
          <w:szCs w:val="18.000749588012695"/>
          <w:highlight w:val="white"/>
          <w:rtl w:val="0"/>
        </w:rPr>
        <w:t xml:space="preserve">. </w:t>
      </w:r>
      <w:r w:rsidDel="00000000" w:rsidR="00000000" w:rsidRPr="00000000">
        <w:rPr>
          <w:rFonts w:ascii="Titillium" w:cs="Titillium" w:eastAsia="Titillium" w:hAnsi="Titillium"/>
          <w:b w:val="1"/>
          <w:sz w:val="18"/>
          <w:szCs w:val="18"/>
          <w:rtl w:val="0"/>
        </w:rPr>
        <w:br w:type="textWrapping"/>
      </w:r>
      <w:r w:rsidDel="00000000" w:rsidR="00000000" w:rsidRPr="00000000">
        <w:rPr>
          <w:rFonts w:ascii="Titillium" w:cs="Titillium" w:eastAsia="Titillium" w:hAnsi="Titillium"/>
          <w:sz w:val="18"/>
          <w:szCs w:val="18"/>
          <w:rtl w:val="0"/>
        </w:rPr>
        <w:t xml:space="preserve">Si invitano i concorrenti a visionare costantemente tale sezione della Piattaforma o il sito istituzionale.</w:t>
      </w:r>
      <w:r w:rsidDel="00000000" w:rsidR="00000000" w:rsidRPr="00000000">
        <w:rPr>
          <w:rtl w:val="0"/>
        </w:rPr>
      </w:r>
    </w:p>
    <w:p w:rsidR="00000000" w:rsidDel="00000000" w:rsidP="00000000" w:rsidRDefault="00000000" w:rsidRPr="00000000" w14:paraId="0000008D">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Piattaforma invia automaticamente agli operatori economici una segnalazione di avviso. </w:t>
      </w:r>
    </w:p>
    <w:p w:rsidR="00000000" w:rsidDel="00000000" w:rsidP="00000000" w:rsidRDefault="00000000" w:rsidRPr="00000000" w14:paraId="0000008E">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Non viene fornita risposta alle richieste presentate con modalità diverse da quelle sopra indicate.</w:t>
      </w:r>
    </w:p>
    <w:p w:rsidR="00000000" w:rsidDel="00000000" w:rsidP="00000000" w:rsidRDefault="00000000" w:rsidRPr="00000000" w14:paraId="0000008F">
      <w:pPr>
        <w:pStyle w:val="Heading3"/>
        <w:ind w:left="0" w:firstLine="0"/>
        <w:rPr>
          <w:rFonts w:ascii="Titillium" w:cs="Titillium" w:eastAsia="Titillium" w:hAnsi="Titillium"/>
          <w:smallCaps w:val="0"/>
          <w:sz w:val="18"/>
          <w:szCs w:val="18"/>
        </w:rPr>
      </w:pPr>
      <w:bookmarkStart w:colFirst="0" w:colLast="0" w:name="_44sinio" w:id="8"/>
      <w:bookmarkEnd w:id="8"/>
      <w:r w:rsidDel="00000000" w:rsidR="00000000" w:rsidRPr="00000000">
        <w:rPr>
          <w:rFonts w:ascii="Titillium" w:cs="Titillium" w:eastAsia="Titillium" w:hAnsi="Titillium"/>
          <w:smallCaps w:val="0"/>
          <w:sz w:val="18"/>
          <w:szCs w:val="18"/>
          <w:rtl w:val="0"/>
        </w:rPr>
        <w:t xml:space="preserve">2.3 COMUNICAZIONI</w:t>
      </w:r>
    </w:p>
    <w:p w:rsidR="00000000" w:rsidDel="00000000" w:rsidP="00000000" w:rsidRDefault="00000000" w:rsidRPr="00000000" w14:paraId="00000090">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Le comunicazioni tra stazione appaltante e operatori economici avvengono</w:t>
      </w:r>
      <w:r w:rsidDel="00000000" w:rsidR="00000000" w:rsidRPr="00000000">
        <w:rPr>
          <w:rFonts w:ascii="Titillium" w:cs="Titillium" w:eastAsia="Titillium" w:hAnsi="Titillium"/>
          <w:rtl w:val="0"/>
        </w:rPr>
        <w:t xml:space="preserve"> </w:t>
      </w:r>
      <w:r w:rsidDel="00000000" w:rsidR="00000000" w:rsidRPr="00000000">
        <w:rPr>
          <w:rFonts w:ascii="Titillium" w:cs="Titillium" w:eastAsia="Titillium" w:hAnsi="Titillium"/>
          <w:sz w:val="18"/>
          <w:szCs w:val="18"/>
          <w:rtl w:val="0"/>
        </w:rPr>
        <w:t xml:space="preserve">tramite la Piattaforma e sono accessibili nella </w:t>
      </w:r>
      <w:r w:rsidDel="00000000" w:rsidR="00000000" w:rsidRPr="00000000">
        <w:rPr>
          <w:rFonts w:ascii="Titillium" w:cs="Titillium" w:eastAsia="Titillium" w:hAnsi="Titillium"/>
          <w:sz w:val="18"/>
          <w:szCs w:val="18"/>
          <w:highlight w:val="white"/>
          <w:rtl w:val="0"/>
        </w:rPr>
        <w:t xml:space="preserve">sezione “Comunicazioni" </w:t>
      </w:r>
      <w:r w:rsidDel="00000000" w:rsidR="00000000" w:rsidRPr="00000000">
        <w:rPr>
          <w:rFonts w:ascii="Titillium" w:cs="Titillium" w:eastAsia="Titillium" w:hAnsi="Titillium"/>
          <w:sz w:val="18"/>
          <w:szCs w:val="18"/>
          <w:rtl w:val="0"/>
        </w:rPr>
        <w:t xml:space="preserve">È onere esclusivo dell’operatore economico prenderne visione. La Piattaforma invia automaticamente agli operatori economici una segnalazione di avviso. Le comunicazioni relative: a) all'aggiudicazione; b) all'esclusione; c) alla decisione di non aggiudicare l’appalto; d) alla data di avvenuta stipulazione del contratto con l'aggiudicatario; avvengono utilizzando il domicilio digitale presente negli indici di cui agli articoli 6-bis,6-ter, 6-quater del decreto legislativo n. 82/05 o, per gli operatori economici transfrontalieri, attraverso un indirizzo di servizio elettronico di recapito certificato qualificato ai sensi del Regolamento eIDAS.</w:t>
      </w:r>
      <w:r w:rsidDel="00000000" w:rsidR="00000000" w:rsidRPr="00000000">
        <w:rPr>
          <w:rtl w:val="0"/>
        </w:rPr>
        <w:t xml:space="preserve"> </w:t>
      </w:r>
      <w:r w:rsidDel="00000000" w:rsidR="00000000" w:rsidRPr="00000000">
        <w:rPr>
          <w:rFonts w:ascii="Titillium" w:cs="Titillium" w:eastAsia="Titillium" w:hAnsi="Titillium"/>
          <w:sz w:val="18"/>
          <w:szCs w:val="18"/>
          <w:rtl w:val="0"/>
        </w:rPr>
        <w:t xml:space="preserve">Se l’operatore economico non è presente nei predetti indici elegge domicilio digitale speciale presso la stessa Piattaforma e le comunicazioni di cui sopra sono effettuate utilizzando tale domicilio digitale. Le comunicazioni relative all’attivazione del soccorso istruttorio; al subprocedimento di verifica dell’anomalia dell’offerta anomala; alla richiesta di offerta migliorativa e al sorteggio di cui all’articolo 22; avvengono presso la Piattaforma. </w:t>
      </w:r>
    </w:p>
    <w:p w:rsidR="00000000" w:rsidDel="00000000" w:rsidP="00000000" w:rsidRDefault="00000000" w:rsidRPr="00000000" w14:paraId="00000091">
      <w:pPr>
        <w:pStyle w:val="Heading1"/>
        <w:rPr/>
      </w:pPr>
      <w:bookmarkStart w:colFirst="0" w:colLast="0" w:name="_2jxsxqh" w:id="9"/>
      <w:bookmarkEnd w:id="9"/>
      <w:r w:rsidDel="00000000" w:rsidR="00000000" w:rsidRPr="00000000">
        <w:rPr>
          <w:rtl w:val="0"/>
        </w:rPr>
        <w:t xml:space="preserve">3. OGGETTO DELL’APPALTO, IMPORTO E SUDDIVISIONE IN LOTTI</w:t>
      </w:r>
    </w:p>
    <w:p w:rsidR="00000000" w:rsidDel="00000000" w:rsidP="00000000" w:rsidRDefault="00000000" w:rsidRPr="00000000" w14:paraId="00000092">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L’appalto è suddiviso nei seguenti lotti:</w:t>
      </w:r>
    </w:p>
    <w:p w:rsidR="00000000" w:rsidDel="00000000" w:rsidP="00000000" w:rsidRDefault="00000000" w:rsidRPr="00000000" w14:paraId="000000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76" w:lineRule="auto"/>
        <w:ind w:left="0" w:right="0" w:firstLine="0"/>
        <w:jc w:val="both"/>
        <w:rPr>
          <w:rFonts w:ascii="Garamond" w:cs="Garamond" w:eastAsia="Garamond" w:hAnsi="Garamond"/>
          <w:b w:val="0"/>
          <w:i w:val="0"/>
          <w:smallCaps w:val="0"/>
          <w:strike w:val="0"/>
          <w:color w:val="000000"/>
          <w:sz w:val="24"/>
          <w:szCs w:val="24"/>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Tabella 1</w:t>
      </w:r>
      <w:r w:rsidDel="00000000" w:rsidR="00000000" w:rsidRPr="00000000">
        <w:rPr>
          <w:rtl w:val="0"/>
        </w:rPr>
      </w:r>
    </w:p>
    <w:tbl>
      <w:tblPr>
        <w:tblStyle w:val="Table1"/>
        <w:tblW w:w="9210.0" w:type="dxa"/>
        <w:jc w:val="left"/>
        <w:tblLayout w:type="fixed"/>
        <w:tblLook w:val="0400"/>
      </w:tblPr>
      <w:tblGrid>
        <w:gridCol w:w="924.0000000000003"/>
        <w:gridCol w:w="3185.9999999999995"/>
        <w:gridCol w:w="2550"/>
        <w:gridCol w:w="2550"/>
        <w:tblGridChange w:id="0">
          <w:tblGrid>
            <w:gridCol w:w="924.0000000000003"/>
            <w:gridCol w:w="3185.9999999999995"/>
            <w:gridCol w:w="2550"/>
            <w:gridCol w:w="2550"/>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94">
            <w:pPr>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Numero lotto</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95">
            <w:pPr>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Oggetto del lotto</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96">
            <w:pPr>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CIG</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97">
            <w:pPr>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Importo Euro</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8">
            <w:pPr>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99">
            <w:pPr>
              <w:rPr>
                <w:rFonts w:ascii="Arial" w:cs="Arial" w:eastAsia="Arial" w:hAnsi="Arial"/>
                <w:sz w:val="18"/>
                <w:szCs w:val="18"/>
              </w:rPr>
            </w:pPr>
            <w:r w:rsidDel="00000000" w:rsidR="00000000" w:rsidRPr="00000000">
              <w:rPr>
                <w:rFonts w:ascii="Arial" w:cs="Arial" w:eastAsia="Arial" w:hAnsi="Arial"/>
                <w:sz w:val="18"/>
                <w:szCs w:val="18"/>
                <w:rtl w:val="0"/>
              </w:rPr>
              <w:t xml:space="preserve">Sedi Arpae dell’ Area Ovest (strutture Arpae di Piacenza, Parma, Reggio Emilia)</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9A">
            <w:pPr>
              <w:ind w:right="-42.51968503937064"/>
              <w:jc w:val="left"/>
              <w:rPr>
                <w:rFonts w:ascii="Arial" w:cs="Arial" w:eastAsia="Arial" w:hAnsi="Arial"/>
                <w:sz w:val="12"/>
                <w:szCs w:val="12"/>
              </w:rPr>
            </w:pPr>
            <w:r w:rsidDel="00000000" w:rsidR="00000000" w:rsidRPr="00000000">
              <w:rPr>
                <w:rFonts w:ascii="Arial" w:cs="Arial" w:eastAsia="Arial" w:hAnsi="Arial"/>
                <w:sz w:val="18"/>
                <w:szCs w:val="18"/>
                <w:rtl w:val="0"/>
              </w:rPr>
              <w:t xml:space="preserve">B06F7B8A49</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9B">
            <w:pPr>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129.000,00</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C">
            <w:pPr>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2</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9D">
            <w:pPr>
              <w:rPr>
                <w:rFonts w:ascii="Arial" w:cs="Arial" w:eastAsia="Arial" w:hAnsi="Arial"/>
                <w:sz w:val="18"/>
                <w:szCs w:val="18"/>
              </w:rPr>
            </w:pPr>
            <w:r w:rsidDel="00000000" w:rsidR="00000000" w:rsidRPr="00000000">
              <w:rPr>
                <w:rFonts w:ascii="Arial" w:cs="Arial" w:eastAsia="Arial" w:hAnsi="Arial"/>
                <w:sz w:val="18"/>
                <w:szCs w:val="18"/>
                <w:rtl w:val="0"/>
              </w:rPr>
              <w:t xml:space="preserve">Sedi Arpae dell’ Area Centro (strutture Arpae di Modena e di Ferrara)</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9E">
            <w:pPr>
              <w:ind w:right="-42.51968503937064"/>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B06F7B9B1C</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9F">
            <w:pPr>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 95.000,00</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0">
            <w:pPr>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3</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A1">
            <w:pPr>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Sedi Arpae dell'Area EST (Strutture Arpae di Ravenna, Rimini, Forlì-Cesena) + Struttura Daphne di Cesenatico </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A2">
            <w:pPr>
              <w:ind w:right="-42.51968503937064"/>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B06F7BABEF</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A3">
            <w:pPr>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160.500,00</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4">
            <w:pPr>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4</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A5">
            <w:pPr>
              <w:rPr>
                <w:rFonts w:ascii="Arial" w:cs="Arial" w:eastAsia="Arial" w:hAnsi="Arial"/>
                <w:sz w:val="18"/>
                <w:szCs w:val="18"/>
              </w:rPr>
            </w:pPr>
            <w:r w:rsidDel="00000000" w:rsidR="00000000" w:rsidRPr="00000000">
              <w:rPr>
                <w:rFonts w:ascii="Arial" w:cs="Arial" w:eastAsia="Arial" w:hAnsi="Arial"/>
                <w:sz w:val="18"/>
                <w:szCs w:val="18"/>
                <w:rtl w:val="0"/>
              </w:rPr>
              <w:t xml:space="preserve">Sedi Arpae dell'Area Metropolitana, della Direzione Tecnica e della Direzione Generale di Bologna (strutture Arpae di  Bologna)</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A6">
            <w:pPr>
              <w:ind w:right="-42.51968503937064"/>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B06F7BBCC2</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A7">
            <w:pPr>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162.000,00</w:t>
            </w:r>
          </w:p>
        </w:tc>
      </w:tr>
    </w:tbl>
    <w:p w:rsidR="00000000" w:rsidDel="00000000" w:rsidP="00000000" w:rsidRDefault="00000000" w:rsidRPr="00000000" w14:paraId="000000A8">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 lotti sono stati scorporati</w:t>
      </w:r>
      <w:r w:rsidDel="00000000" w:rsidR="00000000" w:rsidRPr="00000000">
        <w:rPr>
          <w:rFonts w:ascii="Titillium" w:cs="Titillium" w:eastAsia="Titillium" w:hAnsi="Titillium"/>
          <w:sz w:val="18"/>
          <w:szCs w:val="18"/>
          <w:rtl w:val="0"/>
        </w:rPr>
        <w:t xml:space="preserve"> in funzione della </w:t>
      </w:r>
      <w:r w:rsidDel="00000000" w:rsidR="00000000" w:rsidRPr="00000000">
        <w:rPr>
          <w:rFonts w:ascii="Titillium" w:cs="Titillium" w:eastAsia="Titillium" w:hAnsi="Titillium"/>
          <w:sz w:val="18"/>
          <w:szCs w:val="18"/>
          <w:rtl w:val="0"/>
        </w:rPr>
        <w:t xml:space="preserve">distribuzione geografica delle sedi interessate al servizio.</w:t>
      </w:r>
      <w:r w:rsidDel="00000000" w:rsidR="00000000" w:rsidRPr="00000000">
        <w:rPr>
          <w:rtl w:val="0"/>
        </w:rPr>
      </w:r>
    </w:p>
    <w:p w:rsidR="00000000" w:rsidDel="00000000" w:rsidP="00000000" w:rsidRDefault="00000000" w:rsidRPr="00000000" w14:paraId="000000A9">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Il dettaglio delle prestazioni oggetto di ogni lotto è il seguente:</w:t>
      </w:r>
    </w:p>
    <w:p w:rsidR="00000000" w:rsidDel="00000000" w:rsidP="00000000" w:rsidRDefault="00000000" w:rsidRPr="00000000" w14:paraId="000000AA">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Tabella 2</w:t>
      </w:r>
    </w:p>
    <w:tbl>
      <w:tblPr>
        <w:tblStyle w:val="Table2"/>
        <w:tblW w:w="9225.0" w:type="dxa"/>
        <w:jc w:val="left"/>
        <w:tblLayout w:type="fixed"/>
        <w:tblLook w:val="0400"/>
      </w:tblPr>
      <w:tblGrid>
        <w:gridCol w:w="540"/>
        <w:gridCol w:w="4245"/>
        <w:gridCol w:w="1320"/>
        <w:gridCol w:w="1560"/>
        <w:gridCol w:w="1560"/>
        <w:tblGridChange w:id="0">
          <w:tblGrid>
            <w:gridCol w:w="540"/>
            <w:gridCol w:w="4245"/>
            <w:gridCol w:w="1320"/>
            <w:gridCol w:w="1560"/>
            <w:gridCol w:w="1560"/>
          </w:tblGrid>
        </w:tblGridChange>
      </w:tblGrid>
      <w:tr>
        <w:trPr>
          <w:cantSplit w:val="0"/>
          <w:trHeight w:val="686.059570312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AB">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n.</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AC">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Descrizione servizi/beni/lavori</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AD">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CPV</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AE">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P (principale)</w:t>
            </w:r>
          </w:p>
          <w:p w:rsidR="00000000" w:rsidDel="00000000" w:rsidP="00000000" w:rsidRDefault="00000000" w:rsidRPr="00000000" w14:paraId="000000AF">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S (secondaria)</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B0">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Importo</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1">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2">
            <w:pPr>
              <w:widowControl w:val="0"/>
              <w:spacing w:after="14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Servizio in concessione distributori automatici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3">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98390000-3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4">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P</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5">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129.000,00</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6">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7">
            <w:pPr>
              <w:spacing w:after="14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Servizio in concessione distributori automatici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8">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98390000-3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9">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P</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A">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95.000,00</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B">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C">
            <w:pPr>
              <w:spacing w:after="14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Servizio in concessione distributori automatici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D">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98390000-3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E">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P</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F">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160.500,00 </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0">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1">
            <w:pPr>
              <w:spacing w:after="14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Servizio in concessione distributori automatici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2">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98390000-3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3">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P</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4">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162.000,00</w:t>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center"/>
              <w:rPr>
                <w:b w:val="1"/>
              </w:rPr>
            </w:pPr>
            <w:r w:rsidDel="00000000" w:rsidR="00000000" w:rsidRPr="00000000">
              <w:rPr>
                <w:rFonts w:ascii="Titillium" w:cs="Titillium" w:eastAsia="Titillium" w:hAnsi="Titillium"/>
                <w:b w:val="1"/>
                <w:sz w:val="18"/>
                <w:szCs w:val="18"/>
                <w:rtl w:val="0"/>
              </w:rPr>
              <w:t xml:space="preserve">Importo complessivo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center"/>
              <w:rPr/>
            </w:pPr>
            <w:r w:rsidDel="00000000" w:rsidR="00000000" w:rsidRPr="00000000">
              <w:rPr>
                <w:rFonts w:ascii="Titillium" w:cs="Titillium" w:eastAsia="Titillium" w:hAnsi="Titillium"/>
                <w:sz w:val="18"/>
                <w:szCs w:val="18"/>
                <w:rtl w:val="0"/>
              </w:rPr>
              <w:t xml:space="preserve"> 546.500,00</w:t>
            </w:r>
            <w:r w:rsidDel="00000000" w:rsidR="00000000" w:rsidRPr="00000000">
              <w:rPr>
                <w:rtl w:val="0"/>
              </w:rPr>
            </w:r>
          </w:p>
        </w:tc>
      </w:tr>
    </w:tbl>
    <w:p w:rsidR="00000000" w:rsidDel="00000000" w:rsidP="00000000" w:rsidRDefault="00000000" w:rsidRPr="00000000" w14:paraId="000000CA">
      <w:pPr>
        <w:spacing w:after="60" w:before="60" w:lineRule="auto"/>
        <w:rPr>
          <w:rFonts w:ascii="Titillium" w:cs="Titillium" w:eastAsia="Titillium" w:hAnsi="Titillium"/>
          <w:sz w:val="18"/>
          <w:szCs w:val="18"/>
        </w:rPr>
      </w:pPr>
      <w:r w:rsidDel="00000000" w:rsidR="00000000" w:rsidRPr="00000000">
        <w:rPr>
          <w:rtl w:val="0"/>
        </w:rPr>
      </w:r>
    </w:p>
    <w:p w:rsidR="00000000" w:rsidDel="00000000" w:rsidP="00000000" w:rsidRDefault="00000000" w:rsidRPr="00000000" w14:paraId="000000CB">
      <w:pPr>
        <w:spacing w:after="60" w:before="60" w:lineRule="auto"/>
        <w:ind w:right="12.401574803150197"/>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L’importo a base di gara comprende i costi della manodopera che la stazione appaltante ha così stimato:</w:t>
      </w:r>
    </w:p>
    <w:p w:rsidR="00000000" w:rsidDel="00000000" w:rsidP="00000000" w:rsidRDefault="00000000" w:rsidRPr="00000000" w14:paraId="000000CC">
      <w:pPr>
        <w:spacing w:after="60" w:before="60" w:lineRule="auto"/>
        <w:ind w:right="12.401574803150197"/>
        <w:rPr>
          <w:rFonts w:ascii="Arial" w:cs="Arial" w:eastAsia="Arial" w:hAnsi="Arial"/>
          <w:b w:val="1"/>
          <w:sz w:val="22"/>
          <w:szCs w:val="22"/>
        </w:rPr>
      </w:pPr>
      <w:r w:rsidDel="00000000" w:rsidR="00000000" w:rsidRPr="00000000">
        <w:rPr>
          <w:rFonts w:ascii="Titillium" w:cs="Titillium" w:eastAsia="Titillium" w:hAnsi="Titillium"/>
          <w:sz w:val="18"/>
          <w:szCs w:val="18"/>
          <w:rtl w:val="0"/>
        </w:rPr>
        <w:t xml:space="preserve"> </w:t>
      </w:r>
      <w:r w:rsidDel="00000000" w:rsidR="00000000" w:rsidRPr="00000000">
        <w:rPr>
          <w:rtl w:val="0"/>
        </w:rPr>
      </w:r>
    </w:p>
    <w:tbl>
      <w:tblPr>
        <w:tblStyle w:val="Table3"/>
        <w:tblW w:w="10065.0" w:type="dxa"/>
        <w:jc w:val="left"/>
        <w:tblInd w:w="30.0" w:type="dxa"/>
        <w:tblLayout w:type="fixed"/>
        <w:tblLook w:val="0600"/>
      </w:tblPr>
      <w:tblGrid>
        <w:gridCol w:w="900"/>
        <w:gridCol w:w="6435"/>
        <w:gridCol w:w="2730"/>
        <w:tblGridChange w:id="0">
          <w:tblGrid>
            <w:gridCol w:w="900"/>
            <w:gridCol w:w="6435"/>
            <w:gridCol w:w="2730"/>
          </w:tblGrid>
        </w:tblGridChange>
      </w:tblGrid>
      <w:tr>
        <w:trPr>
          <w:cantSplit w:val="0"/>
          <w:trHeight w:val="840"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CD">
            <w:pPr>
              <w:jc w:val="left"/>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CE">
            <w:pPr>
              <w:jc w:val="left"/>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LOTTI</w:t>
            </w:r>
          </w:p>
          <w:p w:rsidR="00000000" w:rsidDel="00000000" w:rsidP="00000000" w:rsidRDefault="00000000" w:rsidRPr="00000000" w14:paraId="000000CF">
            <w:pPr>
              <w:jc w:val="left"/>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 </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D0">
            <w:pPr>
              <w:jc w:val="left"/>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D1">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DESCRIZIONE  </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D2">
            <w:pPr>
              <w:jc w:val="left"/>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D3">
            <w:pPr>
              <w:jc w:val="left"/>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COSTI MANODOPERA (quadriennali)</w:t>
            </w:r>
          </w:p>
        </w:tc>
      </w:tr>
      <w:tr>
        <w:trPr>
          <w:cantSplit w:val="0"/>
          <w:trHeight w:val="840"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D4">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1</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D5">
            <w:pPr>
              <w:rPr>
                <w:rFonts w:ascii="Arial" w:cs="Arial" w:eastAsia="Arial" w:hAnsi="Arial"/>
                <w:sz w:val="18"/>
                <w:szCs w:val="18"/>
              </w:rPr>
            </w:pPr>
            <w:r w:rsidDel="00000000" w:rsidR="00000000" w:rsidRPr="00000000">
              <w:rPr>
                <w:rFonts w:ascii="Arial" w:cs="Arial" w:eastAsia="Arial" w:hAnsi="Arial"/>
                <w:sz w:val="18"/>
                <w:szCs w:val="18"/>
                <w:rtl w:val="0"/>
              </w:rPr>
              <w:t xml:space="preserve">Sedi Arpae dell’ Area Ovest (strutture Arpae di Piacenza, Parma, Reggio Emilia)</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D6">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€ 71.982,00</w:t>
            </w:r>
          </w:p>
        </w:tc>
      </w:tr>
      <w:tr>
        <w:trPr>
          <w:cantSplit w:val="0"/>
          <w:trHeight w:val="810"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D7">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2</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D8">
            <w:pPr>
              <w:rPr>
                <w:rFonts w:ascii="Arial" w:cs="Arial" w:eastAsia="Arial" w:hAnsi="Arial"/>
                <w:sz w:val="18"/>
                <w:szCs w:val="18"/>
              </w:rPr>
            </w:pPr>
            <w:r w:rsidDel="00000000" w:rsidR="00000000" w:rsidRPr="00000000">
              <w:rPr>
                <w:rFonts w:ascii="Arial" w:cs="Arial" w:eastAsia="Arial" w:hAnsi="Arial"/>
                <w:sz w:val="18"/>
                <w:szCs w:val="18"/>
                <w:rtl w:val="0"/>
              </w:rPr>
              <w:t xml:space="preserve">Sedi Arpae dell’ Area Centro (Strutture Arpae di Modena e Ferrara)</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D9">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€ 53.010,00</w:t>
            </w:r>
          </w:p>
        </w:tc>
      </w:tr>
      <w:tr>
        <w:trPr>
          <w:cantSplit w:val="0"/>
          <w:trHeight w:val="840"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DA">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3</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DB">
            <w:pPr>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Sedi Arpae dell'Area EST (Strutture Arpae di Ravenna, Rimini, Forlì-Cesena con opzione sede Arpae  di Cesenatico)</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DC">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€ 89.559,00</w:t>
            </w:r>
          </w:p>
        </w:tc>
      </w:tr>
      <w:tr>
        <w:trPr>
          <w:cantSplit w:val="0"/>
          <w:trHeight w:val="840"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DD">
            <w:pPr>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DE">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4</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DF">
            <w:pPr>
              <w:rPr>
                <w:rFonts w:ascii="Arial" w:cs="Arial" w:eastAsia="Arial" w:hAnsi="Arial"/>
                <w:sz w:val="18"/>
                <w:szCs w:val="18"/>
              </w:rPr>
            </w:pPr>
            <w:r w:rsidDel="00000000" w:rsidR="00000000" w:rsidRPr="00000000">
              <w:rPr>
                <w:rFonts w:ascii="Arial" w:cs="Arial" w:eastAsia="Arial" w:hAnsi="Arial"/>
                <w:sz w:val="18"/>
                <w:szCs w:val="18"/>
                <w:rtl w:val="0"/>
              </w:rPr>
              <w:t xml:space="preserve">Sedi Arpae dell'Area Metropolitana, della Direzione Tecnica e della Direzione Generale di Bologna (Strutture Arpae di  Bologna)</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E0">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€ 90.396,00</w:t>
            </w:r>
          </w:p>
        </w:tc>
      </w:tr>
    </w:tbl>
    <w:p w:rsidR="00000000" w:rsidDel="00000000" w:rsidP="00000000" w:rsidRDefault="00000000" w:rsidRPr="00000000" w14:paraId="000000E1">
      <w:pPr>
        <w:widowControl w:val="0"/>
        <w:shd w:fill="ffffff" w:val="clear"/>
        <w:rPr>
          <w:rFonts w:ascii="Arial" w:cs="Arial" w:eastAsia="Arial" w:hAnsi="Arial"/>
          <w:sz w:val="18"/>
          <w:szCs w:val="18"/>
        </w:rPr>
      </w:pPr>
      <w:r w:rsidDel="00000000" w:rsidR="00000000" w:rsidRPr="00000000">
        <w:rPr>
          <w:rFonts w:ascii="Titillium" w:cs="Titillium" w:eastAsia="Titillium" w:hAnsi="Titillium"/>
          <w:sz w:val="18"/>
          <w:szCs w:val="18"/>
          <w:rtl w:val="0"/>
        </w:rPr>
        <w:t xml:space="preserve">La stima è stata calcolata </w:t>
      </w:r>
      <w:r w:rsidDel="00000000" w:rsidR="00000000" w:rsidRPr="00000000">
        <w:rPr>
          <w:rFonts w:ascii="Arial" w:cs="Arial" w:eastAsia="Arial" w:hAnsi="Arial"/>
          <w:color w:val="444746"/>
          <w:sz w:val="18"/>
          <w:szCs w:val="18"/>
          <w:rtl w:val="0"/>
        </w:rPr>
        <w:t xml:space="preserve">sulla base dei costi storici della manodopera dichiarati in precedenti affidamenti, riproporzionati al valore della concessione per ciascun lotto.</w:t>
      </w:r>
      <w:r w:rsidDel="00000000" w:rsidR="00000000" w:rsidRPr="00000000">
        <w:rPr>
          <w:rtl w:val="0"/>
        </w:rPr>
      </w:r>
    </w:p>
    <w:p w:rsidR="00000000" w:rsidDel="00000000" w:rsidP="00000000" w:rsidRDefault="00000000" w:rsidRPr="00000000" w14:paraId="000000E2">
      <w:pPr>
        <w:widowControl w:val="0"/>
        <w:shd w:fill="ffffff" w:val="clear"/>
        <w:ind w:left="0" w:firstLine="0"/>
        <w:rPr>
          <w:rFonts w:ascii="Titillium" w:cs="Titillium" w:eastAsia="Titillium" w:hAnsi="Titillium"/>
          <w:sz w:val="18"/>
          <w:szCs w:val="18"/>
        </w:rPr>
      </w:pPr>
      <w:r w:rsidDel="00000000" w:rsidR="00000000" w:rsidRPr="00000000">
        <w:rPr>
          <w:rFonts w:ascii="Titillium" w:cs="Titillium" w:eastAsia="Titillium" w:hAnsi="Titillium"/>
          <w:b w:val="1"/>
          <w:sz w:val="18"/>
          <w:szCs w:val="18"/>
          <w:rtl w:val="0"/>
        </w:rPr>
        <w:t xml:space="preserve">I costi della manodopera non sono soggetti al ribasso</w:t>
      </w:r>
      <w:r w:rsidDel="00000000" w:rsidR="00000000" w:rsidRPr="00000000">
        <w:rPr>
          <w:rFonts w:ascii="Titillium" w:cs="Titillium" w:eastAsia="Titillium" w:hAnsi="Titillium"/>
          <w:sz w:val="18"/>
          <w:szCs w:val="18"/>
          <w:rtl w:val="0"/>
        </w:rPr>
        <w:t xml:space="preserve">.</w:t>
      </w:r>
    </w:p>
    <w:p w:rsidR="00000000" w:rsidDel="00000000" w:rsidP="00000000" w:rsidRDefault="00000000" w:rsidRPr="00000000" w14:paraId="000000E3">
      <w:pPr>
        <w:spacing w:after="60" w:before="60" w:lineRule="auto"/>
        <w:rPr>
          <w:rFonts w:ascii="Titillium" w:cs="Titillium" w:eastAsia="Titillium" w:hAnsi="Titillium"/>
          <w:sz w:val="18"/>
          <w:szCs w:val="18"/>
          <w:highlight w:val="red"/>
        </w:rPr>
      </w:pPr>
      <w:r w:rsidDel="00000000" w:rsidR="00000000" w:rsidRPr="00000000">
        <w:rPr>
          <w:rFonts w:ascii="Titillium" w:cs="Titillium" w:eastAsia="Titillium" w:hAnsi="Titillium"/>
          <w:sz w:val="18"/>
          <w:szCs w:val="18"/>
          <w:rtl w:val="0"/>
        </w:rPr>
        <w:t xml:space="preserve">Da gare precedenti esperite si è evinto che i  contratti collettivi applicati al settore sono: Terziario:Commercio, distributori e servizi.</w:t>
        <w:br w:type="textWrapping"/>
        <w:t xml:space="preserve">L’importo degli oneri per la sicurezza da interferenze è pari a € 0,00</w:t>
      </w:r>
      <w:r w:rsidDel="00000000" w:rsidR="00000000" w:rsidRPr="00000000">
        <w:rPr>
          <w:rFonts w:ascii="Titillium" w:cs="Titillium" w:eastAsia="Titillium" w:hAnsi="Titillium"/>
          <w:sz w:val="18"/>
          <w:szCs w:val="18"/>
          <w:rtl w:val="0"/>
        </w:rPr>
        <w:t xml:space="preserve"> </w:t>
      </w:r>
      <w:r w:rsidDel="00000000" w:rsidR="00000000" w:rsidRPr="00000000">
        <w:rPr>
          <w:rFonts w:ascii="Titillium" w:cs="Titillium" w:eastAsia="Titillium" w:hAnsi="Titillium"/>
          <w:sz w:val="18"/>
          <w:szCs w:val="18"/>
          <w:rtl w:val="0"/>
        </w:rPr>
        <w:t xml:space="preserve">sono previste interferenze</w:t>
      </w:r>
      <w:r w:rsidDel="00000000" w:rsidR="00000000" w:rsidRPr="00000000">
        <w:rPr>
          <w:rFonts w:ascii="Titillium" w:cs="Titillium" w:eastAsia="Titillium" w:hAnsi="Titillium"/>
          <w:sz w:val="18"/>
          <w:szCs w:val="18"/>
          <w:rtl w:val="0"/>
        </w:rPr>
        <w:t xml:space="preserve">,</w:t>
      </w:r>
      <w:r w:rsidDel="00000000" w:rsidR="00000000" w:rsidRPr="00000000">
        <w:rPr>
          <w:rFonts w:ascii="Titillium" w:cs="Titillium" w:eastAsia="Titillium" w:hAnsi="Titillium"/>
          <w:i w:val="1"/>
          <w:sz w:val="18"/>
          <w:szCs w:val="18"/>
          <w:rtl w:val="0"/>
        </w:rPr>
        <w:t xml:space="preserve"> </w:t>
      </w:r>
      <w:r w:rsidDel="00000000" w:rsidR="00000000" w:rsidRPr="00000000">
        <w:rPr>
          <w:rFonts w:ascii="Titillium" w:cs="Titillium" w:eastAsia="Titillium" w:hAnsi="Titillium"/>
          <w:sz w:val="18"/>
          <w:szCs w:val="18"/>
          <w:rtl w:val="0"/>
        </w:rPr>
        <w:t xml:space="preserve">i potenziali rischi sono gestibili in modalità comunicativa e organizzativa.</w:t>
      </w:r>
      <w:r w:rsidDel="00000000" w:rsidR="00000000" w:rsidRPr="00000000">
        <w:rPr>
          <w:rtl w:val="0"/>
        </w:rPr>
      </w:r>
    </w:p>
    <w:p w:rsidR="00000000" w:rsidDel="00000000" w:rsidP="00000000" w:rsidRDefault="00000000" w:rsidRPr="00000000" w14:paraId="000000E4">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L’importo complessivo è al netto di</w:t>
      </w:r>
      <w:r w:rsidDel="00000000" w:rsidR="00000000" w:rsidRPr="00000000">
        <w:rPr>
          <w:rFonts w:ascii="Titillium" w:cs="Titillium" w:eastAsia="Titillium" w:hAnsi="Titillium"/>
          <w:i w:val="1"/>
          <w:sz w:val="18"/>
          <w:szCs w:val="18"/>
          <w:rtl w:val="0"/>
        </w:rPr>
        <w:t xml:space="preserve"> </w:t>
      </w:r>
      <w:r w:rsidDel="00000000" w:rsidR="00000000" w:rsidRPr="00000000">
        <w:rPr>
          <w:rFonts w:ascii="Titillium" w:cs="Titillium" w:eastAsia="Titillium" w:hAnsi="Titillium"/>
          <w:sz w:val="18"/>
          <w:szCs w:val="18"/>
          <w:rtl w:val="0"/>
        </w:rPr>
        <w:t xml:space="preserve">Iva.</w:t>
      </w:r>
      <w:r w:rsidDel="00000000" w:rsidR="00000000" w:rsidRPr="00000000">
        <w:rPr>
          <w:rFonts w:ascii="Titillium" w:cs="Titillium" w:eastAsia="Titillium" w:hAnsi="Titillium"/>
          <w:i w:val="1"/>
          <w:sz w:val="18"/>
          <w:szCs w:val="18"/>
          <w:rtl w:val="0"/>
        </w:rPr>
        <w:t xml:space="preserve"> </w:t>
      </w:r>
      <w:r w:rsidDel="00000000" w:rsidR="00000000" w:rsidRPr="00000000">
        <w:rPr>
          <w:rtl w:val="0"/>
        </w:rPr>
      </w:r>
    </w:p>
    <w:p w:rsidR="00000000" w:rsidDel="00000000" w:rsidP="00000000" w:rsidRDefault="00000000" w:rsidRPr="00000000" w14:paraId="000000E5">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L’appalto è finanziato con fondi della stazione appaltante. </w:t>
      </w:r>
    </w:p>
    <w:p w:rsidR="00000000" w:rsidDel="00000000" w:rsidP="00000000" w:rsidRDefault="00000000" w:rsidRPr="00000000" w14:paraId="000000E6">
      <w:pPr>
        <w:pStyle w:val="Heading2"/>
        <w:spacing w:before="120" w:lineRule="auto"/>
        <w:rPr/>
      </w:pPr>
      <w:bookmarkStart w:colFirst="0" w:colLast="0" w:name="_3j2qqm3" w:id="10"/>
      <w:bookmarkEnd w:id="10"/>
      <w:r w:rsidDel="00000000" w:rsidR="00000000" w:rsidRPr="00000000">
        <w:rPr>
          <w:rtl w:val="0"/>
        </w:rPr>
        <w:t xml:space="preserve">3</w:t>
      </w:r>
      <w:r w:rsidDel="00000000" w:rsidR="00000000" w:rsidRPr="00000000">
        <w:rPr>
          <w:rtl w:val="0"/>
        </w:rPr>
        <w:t xml:space="preserve">.1 DURATA </w:t>
      </w:r>
    </w:p>
    <w:p w:rsidR="00000000" w:rsidDel="00000000" w:rsidP="00000000" w:rsidRDefault="00000000" w:rsidRPr="00000000" w14:paraId="000000E7">
      <w:pPr>
        <w:spacing w:after="60" w:before="12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durata dell’appalto (escluse le eventuali opzioni) è di 48</w:t>
      </w:r>
      <w:r w:rsidDel="00000000" w:rsidR="00000000" w:rsidRPr="00000000">
        <w:rPr>
          <w:rFonts w:ascii="Titillium" w:cs="Titillium" w:eastAsia="Titillium" w:hAnsi="Titillium"/>
          <w:sz w:val="18"/>
          <w:szCs w:val="18"/>
          <w:rtl w:val="0"/>
        </w:rPr>
        <w:t xml:space="preserve"> mesi.</w:t>
        <w:br w:type="textWrapping"/>
        <w:t xml:space="preserve">La decorrenza del servizio è fissata dalla data di avvio che</w:t>
      </w:r>
      <w:r w:rsidDel="00000000" w:rsidR="00000000" w:rsidRPr="00000000">
        <w:rPr>
          <w:rFonts w:ascii="Titillium" w:cs="Titillium" w:eastAsia="Titillium" w:hAnsi="Titillium"/>
          <w:sz w:val="18"/>
          <w:szCs w:val="18"/>
          <w:rtl w:val="0"/>
        </w:rPr>
        <w:t xml:space="preserve"> verrà formalizzata con verbale </w:t>
      </w:r>
      <w:r w:rsidDel="00000000" w:rsidR="00000000" w:rsidRPr="00000000">
        <w:rPr>
          <w:rFonts w:ascii="Titillium" w:cs="Titillium" w:eastAsia="Titillium" w:hAnsi="Titillium"/>
          <w:sz w:val="18"/>
          <w:szCs w:val="18"/>
          <w:rtl w:val="0"/>
        </w:rPr>
        <w:t xml:space="preserve">sottoscritto dal Direttore dell’esecuzione del contratto e dal Responsabile della commessa, entro 30 giorni dalla data di </w:t>
      </w:r>
      <w:r w:rsidDel="00000000" w:rsidR="00000000" w:rsidRPr="00000000">
        <w:rPr>
          <w:rFonts w:ascii="Titillium" w:cs="Titillium" w:eastAsia="Titillium" w:hAnsi="Titillium"/>
          <w:sz w:val="18"/>
          <w:szCs w:val="18"/>
          <w:rtl w:val="0"/>
        </w:rPr>
        <w:t xml:space="preserve">sottoscrizione del Contratto</w:t>
      </w:r>
      <w:r w:rsidDel="00000000" w:rsidR="00000000" w:rsidRPr="00000000">
        <w:rPr>
          <w:rFonts w:ascii="Titillium" w:cs="Titillium" w:eastAsia="Titillium" w:hAnsi="Titillium"/>
          <w:i w:val="1"/>
          <w:sz w:val="18"/>
          <w:szCs w:val="18"/>
          <w:rtl w:val="0"/>
        </w:rPr>
        <w:t xml:space="preserve">.</w:t>
      </w:r>
      <w:r w:rsidDel="00000000" w:rsidR="00000000" w:rsidRPr="00000000">
        <w:rPr>
          <w:rtl w:val="0"/>
        </w:rPr>
      </w:r>
    </w:p>
    <w:p w:rsidR="00000000" w:rsidDel="00000000" w:rsidP="00000000" w:rsidRDefault="00000000" w:rsidRPr="00000000" w14:paraId="000000E8">
      <w:pPr>
        <w:pStyle w:val="Heading3"/>
        <w:spacing w:before="120" w:lineRule="auto"/>
        <w:ind w:left="0" w:firstLine="0"/>
        <w:rPr>
          <w:rFonts w:ascii="Titillium" w:cs="Titillium" w:eastAsia="Titillium" w:hAnsi="Titillium"/>
          <w:sz w:val="18"/>
          <w:szCs w:val="18"/>
        </w:rPr>
      </w:pPr>
      <w:bookmarkStart w:colFirst="0" w:colLast="0" w:name="_1y810tw" w:id="11"/>
      <w:bookmarkEnd w:id="11"/>
      <w:r w:rsidDel="00000000" w:rsidR="00000000" w:rsidRPr="00000000">
        <w:rPr>
          <w:rFonts w:ascii="Titillium" w:cs="Titillium" w:eastAsia="Titillium" w:hAnsi="Titillium"/>
          <w:sz w:val="18"/>
          <w:szCs w:val="18"/>
          <w:rtl w:val="0"/>
        </w:rPr>
        <w:t xml:space="preserve">3.3 REVISIONE PREZZI</w:t>
      </w:r>
    </w:p>
    <w:p w:rsidR="00000000" w:rsidDel="00000000" w:rsidP="00000000" w:rsidRDefault="00000000" w:rsidRPr="00000000" w14:paraId="000000E9">
      <w:pPr>
        <w:spacing w:after="60" w:before="12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Qualora nel corso di esecuzione del contratto, al verificarsi di particolari condizioni di natura oggettiva, si determinI una variazione, in aumento o in diminuzione, del costo del servizio superiore al cinque per cento, dell’importo complessivo, i prezzi sono aggiornati, nella misura dell’ottanta per cento della variazione intervenuta superiore al 5%, in relazione alle prestazioni da eseguire.</w:t>
        <w:br w:type="textWrapping"/>
        <w:t xml:space="preserve">Ai fini del calcolo della variazione dei prezzi si utilizzerà  </w:t>
      </w:r>
      <w:r w:rsidDel="00000000" w:rsidR="00000000" w:rsidRPr="00000000">
        <w:rPr>
          <w:rFonts w:ascii="Titillium" w:cs="Titillium" w:eastAsia="Titillium" w:hAnsi="Titillium"/>
          <w:sz w:val="18"/>
          <w:szCs w:val="18"/>
          <w:rtl w:val="0"/>
        </w:rPr>
        <w:t xml:space="preserve">il seguente indice sintetico elaborato dall’ISTAT:</w:t>
      </w:r>
    </w:p>
    <w:p w:rsidR="00000000" w:rsidDel="00000000" w:rsidP="00000000" w:rsidRDefault="00000000" w:rsidRPr="00000000" w14:paraId="000000EA">
      <w:pPr>
        <w:numPr>
          <w:ilvl w:val="0"/>
          <w:numId w:val="17"/>
        </w:numPr>
        <w:spacing w:after="60" w:before="120" w:lineRule="auto"/>
        <w:ind w:left="720" w:hanging="360"/>
        <w:rPr>
          <w:rFonts w:ascii="Calibri" w:cs="Calibri" w:eastAsia="Calibri" w:hAnsi="Calibri"/>
          <w:sz w:val="18"/>
          <w:szCs w:val="18"/>
          <w:u w:val="none"/>
          <w:shd w:fill="f5fdfe" w:val="clear"/>
        </w:rPr>
      </w:pPr>
      <w:r w:rsidDel="00000000" w:rsidR="00000000" w:rsidRPr="00000000">
        <w:rPr>
          <w:rFonts w:ascii="Titillium" w:cs="Titillium" w:eastAsia="Titillium" w:hAnsi="Titillium"/>
          <w:sz w:val="18"/>
          <w:szCs w:val="18"/>
          <w:rtl w:val="0"/>
        </w:rPr>
        <w:t xml:space="preserve">indice annuo dei prezzi al consumo (FOI) .</w:t>
      </w:r>
    </w:p>
    <w:p w:rsidR="00000000" w:rsidDel="00000000" w:rsidP="00000000" w:rsidRDefault="00000000" w:rsidRPr="00000000" w14:paraId="000000EB">
      <w:pPr>
        <w:pStyle w:val="Heading3"/>
        <w:spacing w:before="120" w:lineRule="auto"/>
        <w:ind w:left="0" w:firstLine="0"/>
        <w:rPr>
          <w:rFonts w:ascii="Titillium" w:cs="Titillium" w:eastAsia="Titillium" w:hAnsi="Titillium"/>
          <w:sz w:val="18"/>
          <w:szCs w:val="18"/>
        </w:rPr>
      </w:pPr>
      <w:bookmarkStart w:colFirst="0" w:colLast="0" w:name="_4i7ojhp" w:id="12"/>
      <w:bookmarkEnd w:id="12"/>
      <w:r w:rsidDel="00000000" w:rsidR="00000000" w:rsidRPr="00000000">
        <w:rPr>
          <w:rFonts w:ascii="Titillium" w:cs="Titillium" w:eastAsia="Titillium" w:hAnsi="Titillium"/>
          <w:sz w:val="18"/>
          <w:szCs w:val="18"/>
          <w:rtl w:val="0"/>
        </w:rPr>
        <w:t xml:space="preserve">3.4 MODIFICA DEL CONTRATTO IN FASE DI ESECUZIONE</w:t>
      </w:r>
    </w:p>
    <w:p w:rsidR="00000000" w:rsidDel="00000000" w:rsidP="00000000" w:rsidRDefault="00000000" w:rsidRPr="00000000" w14:paraId="000000EC">
      <w:pPr>
        <w:spacing w:after="60" w:before="120" w:lineRule="auto"/>
        <w:rPr>
          <w:rFonts w:ascii="Titillium" w:cs="Titillium" w:eastAsia="Titillium" w:hAnsi="Titillium"/>
          <w:sz w:val="18"/>
          <w:szCs w:val="18"/>
        </w:rPr>
      </w:pPr>
      <w:r w:rsidDel="00000000" w:rsidR="00000000" w:rsidRPr="00000000">
        <w:rPr>
          <w:rFonts w:ascii="Titillium" w:cs="Titillium" w:eastAsia="Titillium" w:hAnsi="Titillium"/>
          <w:b w:val="1"/>
          <w:sz w:val="18"/>
          <w:szCs w:val="18"/>
          <w:rtl w:val="0"/>
        </w:rPr>
        <w:t xml:space="preserve">Opzione di proroga del contratto</w:t>
      </w:r>
      <w:r w:rsidDel="00000000" w:rsidR="00000000" w:rsidRPr="00000000">
        <w:rPr>
          <w:rFonts w:ascii="Titillium" w:cs="Titillium" w:eastAsia="Titillium" w:hAnsi="Titillium"/>
          <w:sz w:val="18"/>
          <w:szCs w:val="18"/>
          <w:rtl w:val="0"/>
        </w:rPr>
        <w:t xml:space="preserve">: la stazione appaltante si riserva di prorogare</w:t>
      </w:r>
      <w:r w:rsidDel="00000000" w:rsidR="00000000" w:rsidRPr="00000000">
        <w:rPr>
          <w:rFonts w:ascii="Titillium" w:cs="Titillium" w:eastAsia="Titillium" w:hAnsi="Titillium"/>
          <w:b w:val="1"/>
          <w:sz w:val="18"/>
          <w:szCs w:val="18"/>
          <w:rtl w:val="0"/>
        </w:rPr>
        <w:t xml:space="preserve"> </w:t>
      </w:r>
      <w:r w:rsidDel="00000000" w:rsidR="00000000" w:rsidRPr="00000000">
        <w:rPr>
          <w:rFonts w:ascii="Titillium" w:cs="Titillium" w:eastAsia="Titillium" w:hAnsi="Titillium"/>
          <w:sz w:val="18"/>
          <w:szCs w:val="18"/>
          <w:rtl w:val="0"/>
        </w:rPr>
        <w:t xml:space="preserve">il contratto per una durata massima pari a</w:t>
      </w:r>
      <w:r w:rsidDel="00000000" w:rsidR="00000000" w:rsidRPr="00000000">
        <w:rPr>
          <w:rFonts w:ascii="Titillium" w:cs="Titillium" w:eastAsia="Titillium" w:hAnsi="Titillium"/>
          <w:b w:val="1"/>
          <w:i w:val="1"/>
          <w:sz w:val="18"/>
          <w:szCs w:val="18"/>
          <w:rtl w:val="0"/>
        </w:rPr>
        <w:t xml:space="preserve"> </w:t>
      </w:r>
      <w:r w:rsidDel="00000000" w:rsidR="00000000" w:rsidRPr="00000000">
        <w:rPr>
          <w:rFonts w:ascii="Titillium" w:cs="Titillium" w:eastAsia="Titillium" w:hAnsi="Titillium"/>
          <w:sz w:val="18"/>
          <w:szCs w:val="18"/>
          <w:rtl w:val="0"/>
        </w:rPr>
        <w:t xml:space="preserve"> 6 mesi  </w:t>
      </w:r>
      <w:r w:rsidDel="00000000" w:rsidR="00000000" w:rsidRPr="00000000">
        <w:rPr>
          <w:rFonts w:ascii="Titillium" w:cs="Titillium" w:eastAsia="Titillium" w:hAnsi="Titillium"/>
          <w:i w:val="1"/>
          <w:sz w:val="18"/>
          <w:szCs w:val="18"/>
          <w:rtl w:val="0"/>
        </w:rPr>
        <w:t xml:space="preserve"> </w:t>
      </w:r>
      <w:r w:rsidDel="00000000" w:rsidR="00000000" w:rsidRPr="00000000">
        <w:rPr>
          <w:rFonts w:ascii="Titillium" w:cs="Titillium" w:eastAsia="Titillium" w:hAnsi="Titillium"/>
          <w:sz w:val="18"/>
          <w:szCs w:val="18"/>
          <w:rtl w:val="0"/>
        </w:rPr>
        <w:t xml:space="preserve">ai prezzi, patti e condizioni</w:t>
      </w:r>
      <w:r w:rsidDel="00000000" w:rsidR="00000000" w:rsidRPr="00000000">
        <w:rPr>
          <w:rFonts w:ascii="Titillium" w:cs="Titillium" w:eastAsia="Titillium" w:hAnsi="Titillium"/>
          <w:sz w:val="18"/>
          <w:szCs w:val="18"/>
          <w:highlight w:val="white"/>
          <w:rtl w:val="0"/>
        </w:rPr>
        <w:t xml:space="preserve"> stabiliti nel contratto o</w:t>
      </w:r>
      <w:r w:rsidDel="00000000" w:rsidR="00000000" w:rsidRPr="00000000">
        <w:rPr>
          <w:rFonts w:ascii="Titillium" w:cs="Titillium" w:eastAsia="Titillium" w:hAnsi="Titillium"/>
          <w:b w:val="1"/>
          <w:i w:val="1"/>
          <w:sz w:val="18"/>
          <w:szCs w:val="18"/>
          <w:highlight w:val="white"/>
          <w:rtl w:val="0"/>
        </w:rPr>
        <w:t xml:space="preserve"> </w:t>
      </w:r>
      <w:r w:rsidDel="00000000" w:rsidR="00000000" w:rsidRPr="00000000">
        <w:rPr>
          <w:rFonts w:ascii="Titillium" w:cs="Titillium" w:eastAsia="Titillium" w:hAnsi="Titillium"/>
          <w:sz w:val="18"/>
          <w:szCs w:val="18"/>
          <w:highlight w:val="white"/>
          <w:rtl w:val="0"/>
        </w:rPr>
        <w:t xml:space="preserve">alle condizioni di mercato ove più favorevoli per la stazione appaltante</w:t>
      </w:r>
      <w:r w:rsidDel="00000000" w:rsidR="00000000" w:rsidRPr="00000000">
        <w:rPr>
          <w:rFonts w:ascii="Titillium" w:cs="Titillium" w:eastAsia="Titillium" w:hAnsi="Titillium"/>
          <w:b w:val="1"/>
          <w:sz w:val="18"/>
          <w:szCs w:val="18"/>
          <w:highlight w:val="white"/>
          <w:rtl w:val="0"/>
        </w:rPr>
        <w:t xml:space="preserve">.</w:t>
      </w:r>
      <w:r w:rsidDel="00000000" w:rsidR="00000000" w:rsidRPr="00000000">
        <w:rPr>
          <w:rFonts w:ascii="Titillium" w:cs="Titillium" w:eastAsia="Titillium" w:hAnsi="Titillium"/>
          <w:sz w:val="18"/>
          <w:szCs w:val="18"/>
          <w:highlight w:val="white"/>
          <w:rtl w:val="0"/>
        </w:rPr>
        <w:t xml:space="preserve"> L’importo stimato di tale opzione è specificato per ogni lotto</w:t>
      </w:r>
      <w:r w:rsidDel="00000000" w:rsidR="00000000" w:rsidRPr="00000000">
        <w:rPr>
          <w:rFonts w:ascii="Titillium" w:cs="Titillium" w:eastAsia="Titillium" w:hAnsi="Titillium"/>
          <w:i w:val="1"/>
          <w:sz w:val="18"/>
          <w:szCs w:val="18"/>
          <w:highlight w:val="white"/>
          <w:rtl w:val="0"/>
        </w:rPr>
        <w:t xml:space="preserve">, </w:t>
      </w:r>
      <w:r w:rsidDel="00000000" w:rsidR="00000000" w:rsidRPr="00000000">
        <w:rPr>
          <w:rFonts w:ascii="Titillium" w:cs="Titillium" w:eastAsia="Titillium" w:hAnsi="Titillium"/>
          <w:sz w:val="18"/>
          <w:szCs w:val="18"/>
          <w:highlight w:val="white"/>
          <w:rtl w:val="0"/>
        </w:rPr>
        <w:t xml:space="preserve">al</w:t>
      </w:r>
      <w:r w:rsidDel="00000000" w:rsidR="00000000" w:rsidRPr="00000000">
        <w:rPr>
          <w:rFonts w:ascii="Titillium" w:cs="Titillium" w:eastAsia="Titillium" w:hAnsi="Titillium"/>
          <w:sz w:val="18"/>
          <w:szCs w:val="18"/>
          <w:rtl w:val="0"/>
        </w:rPr>
        <w:t xml:space="preserve"> netto di Iva.</w:t>
      </w:r>
    </w:p>
    <w:p w:rsidR="00000000" w:rsidDel="00000000" w:rsidP="00000000" w:rsidRDefault="00000000" w:rsidRPr="00000000" w14:paraId="000000ED">
      <w:pPr>
        <w:spacing w:after="60" w:before="120" w:lineRule="auto"/>
        <w:rPr>
          <w:rFonts w:ascii="Titillium" w:cs="Titillium" w:eastAsia="Titillium" w:hAnsi="Titillium"/>
          <w:sz w:val="18"/>
          <w:szCs w:val="18"/>
        </w:rPr>
      </w:pPr>
      <w:r w:rsidDel="00000000" w:rsidR="00000000" w:rsidRPr="00000000">
        <w:rPr>
          <w:rtl w:val="0"/>
        </w:rPr>
      </w:r>
    </w:p>
    <w:tbl>
      <w:tblPr>
        <w:tblStyle w:val="Table4"/>
        <w:tblW w:w="9224.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44.8"/>
        <w:gridCol w:w="1844.8"/>
        <w:gridCol w:w="1844.8"/>
        <w:gridCol w:w="1844.8"/>
        <w:gridCol w:w="1844.8"/>
        <w:tblGridChange w:id="0">
          <w:tblGrid>
            <w:gridCol w:w="1844.8"/>
            <w:gridCol w:w="1844.8"/>
            <w:gridCol w:w="1844.8"/>
            <w:gridCol w:w="1844.8"/>
            <w:gridCol w:w="1844.8"/>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Opzione proroga Lotto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EF">
            <w:pPr>
              <w:widowControl w:val="0"/>
              <w:spacing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Opzione proroga Lotto 2</w:t>
            </w:r>
          </w:p>
        </w:tc>
        <w:tc>
          <w:tcPr>
            <w:shd w:fill="auto" w:val="clear"/>
            <w:tcMar>
              <w:top w:w="100.0" w:type="dxa"/>
              <w:left w:w="100.0" w:type="dxa"/>
              <w:bottom w:w="100.0" w:type="dxa"/>
              <w:right w:w="100.0" w:type="dxa"/>
            </w:tcMar>
            <w:vAlign w:val="top"/>
          </w:tcPr>
          <w:p w:rsidR="00000000" w:rsidDel="00000000" w:rsidP="00000000" w:rsidRDefault="00000000" w:rsidRPr="00000000" w14:paraId="000000F0">
            <w:pPr>
              <w:widowControl w:val="0"/>
              <w:spacing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Opzione proroga Lotto 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1">
            <w:pPr>
              <w:widowControl w:val="0"/>
              <w:spacing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Opzione proroga Lotto 4</w:t>
            </w:r>
          </w:p>
        </w:tc>
        <w:tc>
          <w:tcPr>
            <w:shd w:fill="auto" w:val="clear"/>
            <w:tcMar>
              <w:top w:w="100.0" w:type="dxa"/>
              <w:left w:w="100.0" w:type="dxa"/>
              <w:bottom w:w="100.0" w:type="dxa"/>
              <w:right w:w="100.0" w:type="dxa"/>
            </w:tcMar>
            <w:vAlign w:val="top"/>
          </w:tcPr>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Importo complessivo proroga</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19.350,00</w:t>
            </w:r>
          </w:p>
        </w:tc>
        <w:tc>
          <w:tcPr>
            <w:shd w:fill="auto" w:val="clear"/>
            <w:tcMar>
              <w:top w:w="100.0" w:type="dxa"/>
              <w:left w:w="100.0" w:type="dxa"/>
              <w:bottom w:w="100.0" w:type="dxa"/>
              <w:right w:w="100.0" w:type="dxa"/>
            </w:tcMar>
            <w:vAlign w:val="top"/>
          </w:tcPr>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14.250,00</w:t>
            </w:r>
          </w:p>
        </w:tc>
        <w:tc>
          <w:tcPr>
            <w:shd w:fill="auto" w:val="clear"/>
            <w:tcMar>
              <w:top w:w="100.0" w:type="dxa"/>
              <w:left w:w="100.0" w:type="dxa"/>
              <w:bottom w:w="100.0" w:type="dxa"/>
              <w:right w:w="100.0" w:type="dxa"/>
            </w:tcMar>
            <w:vAlign w:val="top"/>
          </w:tcPr>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24.075,00</w:t>
            </w:r>
          </w:p>
        </w:tc>
        <w:tc>
          <w:tcPr>
            <w:shd w:fill="auto" w:val="clear"/>
            <w:tcMar>
              <w:top w:w="100.0" w:type="dxa"/>
              <w:left w:w="100.0" w:type="dxa"/>
              <w:bottom w:w="100.0" w:type="dxa"/>
              <w:right w:w="100.0" w:type="dxa"/>
            </w:tcMar>
            <w:vAlign w:val="top"/>
          </w:tcPr>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24.300,00</w:t>
            </w:r>
          </w:p>
        </w:tc>
        <w:tc>
          <w:tcPr>
            <w:shd w:fill="auto" w:val="clear"/>
            <w:tcMar>
              <w:top w:w="100.0" w:type="dxa"/>
              <w:left w:w="100.0" w:type="dxa"/>
              <w:bottom w:w="100.0" w:type="dxa"/>
              <w:right w:w="100.0" w:type="dxa"/>
            </w:tcMar>
            <w:vAlign w:val="top"/>
          </w:tcPr>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81.975,00</w:t>
            </w:r>
          </w:p>
        </w:tc>
      </w:tr>
    </w:tbl>
    <w:p w:rsidR="00000000" w:rsidDel="00000000" w:rsidP="00000000" w:rsidRDefault="00000000" w:rsidRPr="00000000" w14:paraId="000000F8">
      <w:pPr>
        <w:spacing w:after="60" w:before="120" w:lineRule="auto"/>
        <w:rPr>
          <w:rFonts w:ascii="Titillium" w:cs="Titillium" w:eastAsia="Titillium" w:hAnsi="Titillium"/>
          <w:sz w:val="18"/>
          <w:szCs w:val="18"/>
          <w:highlight w:val="yellow"/>
        </w:rPr>
      </w:pPr>
      <w:r w:rsidDel="00000000" w:rsidR="00000000" w:rsidRPr="00000000">
        <w:rPr>
          <w:rFonts w:ascii="Titillium" w:cs="Titillium" w:eastAsia="Titillium" w:hAnsi="Titillium"/>
          <w:sz w:val="18"/>
          <w:szCs w:val="18"/>
          <w:rtl w:val="0"/>
        </w:rPr>
        <w:t xml:space="preserve">L’esercizio di tale facoltà è comunicato all’appaltatore almeno 15 giorni prima della scadenza del contratto.</w:t>
      </w:r>
      <w:r w:rsidDel="00000000" w:rsidR="00000000" w:rsidRPr="00000000">
        <w:rPr>
          <w:rtl w:val="0"/>
        </w:rPr>
      </w:r>
    </w:p>
    <w:p w:rsidR="00000000" w:rsidDel="00000000" w:rsidP="00000000" w:rsidRDefault="00000000" w:rsidRPr="00000000" w14:paraId="000000F9">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In casi eccezionali, il contratto in corso di esecuzione può essere prorogato per il tempo strettamente necessario alla conclusione della procedura di individuazione del nuovo contraente se si verificano le condizioni indicate all’articolo 120, comma 11, del Codice.</w:t>
      </w:r>
      <w:r w:rsidDel="00000000" w:rsidR="00000000" w:rsidRPr="00000000">
        <w:rPr>
          <w:rFonts w:ascii="Titillium" w:cs="Titillium" w:eastAsia="Titillium" w:hAnsi="Titillium"/>
          <w:b w:val="1"/>
          <w:i w:val="1"/>
          <w:sz w:val="18"/>
          <w:szCs w:val="18"/>
          <w:rtl w:val="0"/>
        </w:rPr>
        <w:t xml:space="preserve"> </w:t>
      </w:r>
      <w:r w:rsidDel="00000000" w:rsidR="00000000" w:rsidRPr="00000000">
        <w:rPr>
          <w:rFonts w:ascii="Titillium" w:cs="Titillium" w:eastAsia="Titillium" w:hAnsi="Titillium"/>
          <w:sz w:val="18"/>
          <w:szCs w:val="18"/>
          <w:rtl w:val="0"/>
        </w:rPr>
        <w:t xml:space="preserve">In tal caso il contraente è tenuto all’esecuzione delle prestazioni oggetto del contratto agli stessi prezzi, patti e condizioni previsti nel contratto.</w:t>
      </w:r>
    </w:p>
    <w:p w:rsidR="00000000" w:rsidDel="00000000" w:rsidP="00000000" w:rsidRDefault="00000000" w:rsidRPr="00000000" w14:paraId="000000FA">
      <w:pPr>
        <w:spacing w:after="60" w:before="60" w:lineRule="auto"/>
        <w:rPr>
          <w:rFonts w:ascii="Titillium" w:cs="Titillium" w:eastAsia="Titillium" w:hAnsi="Titillium"/>
          <w:sz w:val="18"/>
          <w:szCs w:val="18"/>
          <w:highlight w:val="white"/>
        </w:rPr>
      </w:pPr>
      <w:r w:rsidDel="00000000" w:rsidR="00000000" w:rsidRPr="00000000">
        <w:rPr>
          <w:rFonts w:ascii="Titillium" w:cs="Titillium" w:eastAsia="Titillium" w:hAnsi="Titillium"/>
          <w:b w:val="1"/>
          <w:sz w:val="18"/>
          <w:szCs w:val="18"/>
          <w:highlight w:val="white"/>
          <w:rtl w:val="0"/>
        </w:rPr>
        <w:t xml:space="preserve">Variazione fino a concorrenza del quinto dell’importo del contratto: </w:t>
      </w:r>
      <w:r w:rsidDel="00000000" w:rsidR="00000000" w:rsidRPr="00000000">
        <w:rPr>
          <w:rFonts w:ascii="Titillium" w:cs="Titillium" w:eastAsia="Titillium" w:hAnsi="Titillium"/>
          <w:sz w:val="18"/>
          <w:szCs w:val="18"/>
          <w:highlight w:val="white"/>
          <w:rtl w:val="0"/>
        </w:rPr>
        <w:t xml:space="preserve">A</w:t>
      </w:r>
      <w:r w:rsidDel="00000000" w:rsidR="00000000" w:rsidRPr="00000000">
        <w:rPr>
          <w:rFonts w:ascii="Arial" w:cs="Arial" w:eastAsia="Arial" w:hAnsi="Arial"/>
          <w:sz w:val="18"/>
          <w:szCs w:val="18"/>
          <w:highlight w:val="white"/>
          <w:rtl w:val="0"/>
        </w:rPr>
        <w:t xml:space="preserve">rpae si riserva la facoltà di chiedere, durante l’arco temporale della durata della concessione, all’aggiudicatario di ciascun lotto, l’installazione e la gestione di “erogatori automatici” di acqua potabile, collegati direttamente alla rete idrica, per un importo stimato, corrispondente al 20% del valore complessivo di ciascun lotto</w:t>
      </w:r>
      <w:r w:rsidDel="00000000" w:rsidR="00000000" w:rsidRPr="00000000">
        <w:rPr>
          <w:rFonts w:ascii="Titillium" w:cs="Titillium" w:eastAsia="Titillium" w:hAnsi="Titillium"/>
          <w:sz w:val="18"/>
          <w:szCs w:val="18"/>
          <w:highlight w:val="white"/>
          <w:rtl w:val="0"/>
        </w:rPr>
        <w:t xml:space="preserve">. In tal caso l'appaltatore non può fare valere il diritto alla risoluzione del contratto. </w:t>
      </w:r>
    </w:p>
    <w:p w:rsidR="00000000" w:rsidDel="00000000" w:rsidP="00000000" w:rsidRDefault="00000000" w:rsidRPr="00000000" w14:paraId="000000FB">
      <w:pPr>
        <w:spacing w:after="60" w:before="120" w:lineRule="auto"/>
        <w:rPr>
          <w:rFonts w:ascii="Titillium" w:cs="Titillium" w:eastAsia="Titillium" w:hAnsi="Titillium"/>
          <w:sz w:val="18"/>
          <w:szCs w:val="18"/>
        </w:rPr>
      </w:pPr>
      <w:r w:rsidDel="00000000" w:rsidR="00000000" w:rsidRPr="00000000">
        <w:rPr>
          <w:rtl w:val="0"/>
        </w:rPr>
      </w:r>
    </w:p>
    <w:tbl>
      <w:tblPr>
        <w:tblStyle w:val="Table5"/>
        <w:tblW w:w="9224.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44.8"/>
        <w:gridCol w:w="1844.8"/>
        <w:gridCol w:w="1844.8"/>
        <w:gridCol w:w="1844.8"/>
        <w:gridCol w:w="1844.8"/>
        <w:tblGridChange w:id="0">
          <w:tblGrid>
            <w:gridCol w:w="1844.8"/>
            <w:gridCol w:w="1844.8"/>
            <w:gridCol w:w="1844.8"/>
            <w:gridCol w:w="1844.8"/>
            <w:gridCol w:w="1844.8"/>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C">
            <w:pPr>
              <w:widowControl w:val="0"/>
              <w:spacing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Importo massimo del servizio opzionale per erogatore acqua</w:t>
            </w:r>
          </w:p>
          <w:p w:rsidR="00000000" w:rsidDel="00000000" w:rsidP="00000000" w:rsidRDefault="00000000" w:rsidRPr="00000000" w14:paraId="000000FD">
            <w:pPr>
              <w:widowControl w:val="0"/>
              <w:spacing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 Lotto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FE">
            <w:pPr>
              <w:widowControl w:val="0"/>
              <w:spacing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Importo massimo del servizio opzionale per erogatore acqua</w:t>
            </w:r>
          </w:p>
          <w:p w:rsidR="00000000" w:rsidDel="00000000" w:rsidP="00000000" w:rsidRDefault="00000000" w:rsidRPr="00000000" w14:paraId="000000FF">
            <w:pPr>
              <w:widowControl w:val="0"/>
              <w:spacing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 Lotto 2</w:t>
            </w:r>
          </w:p>
        </w:tc>
        <w:tc>
          <w:tcPr>
            <w:shd w:fill="auto" w:val="clear"/>
            <w:tcMar>
              <w:top w:w="100.0" w:type="dxa"/>
              <w:left w:w="100.0" w:type="dxa"/>
              <w:bottom w:w="100.0" w:type="dxa"/>
              <w:right w:w="100.0" w:type="dxa"/>
            </w:tcMar>
            <w:vAlign w:val="top"/>
          </w:tcPr>
          <w:p w:rsidR="00000000" w:rsidDel="00000000" w:rsidP="00000000" w:rsidRDefault="00000000" w:rsidRPr="00000000" w14:paraId="00000100">
            <w:pPr>
              <w:widowControl w:val="0"/>
              <w:spacing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Importo massimo del servizio opzionale per erogatore acqua</w:t>
            </w:r>
          </w:p>
          <w:p w:rsidR="00000000" w:rsidDel="00000000" w:rsidP="00000000" w:rsidRDefault="00000000" w:rsidRPr="00000000" w14:paraId="00000101">
            <w:pPr>
              <w:widowControl w:val="0"/>
              <w:spacing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br w:type="textWrapping"/>
              <w:t xml:space="preserve"> Lotto 3</w:t>
            </w:r>
          </w:p>
        </w:tc>
        <w:tc>
          <w:tcPr>
            <w:shd w:fill="auto" w:val="clear"/>
            <w:tcMar>
              <w:top w:w="100.0" w:type="dxa"/>
              <w:left w:w="100.0" w:type="dxa"/>
              <w:bottom w:w="100.0" w:type="dxa"/>
              <w:right w:w="100.0" w:type="dxa"/>
            </w:tcMar>
            <w:vAlign w:val="top"/>
          </w:tcPr>
          <w:p w:rsidR="00000000" w:rsidDel="00000000" w:rsidP="00000000" w:rsidRDefault="00000000" w:rsidRPr="00000000" w14:paraId="00000102">
            <w:pPr>
              <w:widowControl w:val="0"/>
              <w:spacing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Importo massimo del servizio opzionale per erogatore acqua</w:t>
            </w:r>
          </w:p>
          <w:p w:rsidR="00000000" w:rsidDel="00000000" w:rsidP="00000000" w:rsidRDefault="00000000" w:rsidRPr="00000000" w14:paraId="00000103">
            <w:pPr>
              <w:widowControl w:val="0"/>
              <w:spacing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br w:type="textWrapping"/>
              <w:t xml:space="preserve"> Lotto 4</w:t>
            </w:r>
          </w:p>
        </w:tc>
        <w:tc>
          <w:tcPr>
            <w:shd w:fill="auto" w:val="clear"/>
            <w:tcMar>
              <w:top w:w="100.0" w:type="dxa"/>
              <w:left w:w="100.0" w:type="dxa"/>
              <w:bottom w:w="100.0" w:type="dxa"/>
              <w:right w:w="100.0" w:type="dxa"/>
            </w:tcMar>
            <w:vAlign w:val="top"/>
          </w:tcPr>
          <w:p w:rsidR="00000000" w:rsidDel="00000000" w:rsidP="00000000" w:rsidRDefault="00000000" w:rsidRPr="00000000" w14:paraId="00000104">
            <w:pPr>
              <w:widowControl w:val="0"/>
              <w:spacing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Importo complessivo del del servizio opzionale per erogatore acqua</w:t>
            </w:r>
          </w:p>
          <w:p w:rsidR="00000000" w:rsidDel="00000000" w:rsidP="00000000" w:rsidRDefault="00000000" w:rsidRPr="00000000" w14:paraId="00000105">
            <w:pPr>
              <w:widowControl w:val="0"/>
              <w:spacing w:line="240" w:lineRule="auto"/>
              <w:jc w:val="center"/>
              <w:rPr>
                <w:rFonts w:ascii="Titillium" w:cs="Titillium" w:eastAsia="Titillium" w:hAnsi="Titillium"/>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6">
            <w:pPr>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25.800,00</w:t>
            </w:r>
          </w:p>
        </w:tc>
        <w:tc>
          <w:tcPr>
            <w:shd w:fill="auto" w:val="clear"/>
            <w:tcMar>
              <w:top w:w="100.0" w:type="dxa"/>
              <w:left w:w="100.0" w:type="dxa"/>
              <w:bottom w:w="100.0" w:type="dxa"/>
              <w:right w:w="100.0" w:type="dxa"/>
            </w:tcMar>
            <w:vAlign w:val="top"/>
          </w:tcPr>
          <w:p w:rsidR="00000000" w:rsidDel="00000000" w:rsidP="00000000" w:rsidRDefault="00000000" w:rsidRPr="00000000" w14:paraId="00000107">
            <w:pPr>
              <w:widowControl w:val="0"/>
              <w:spacing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19.000,00</w:t>
            </w:r>
          </w:p>
        </w:tc>
        <w:tc>
          <w:tcPr>
            <w:shd w:fill="auto" w:val="clear"/>
            <w:tcMar>
              <w:top w:w="100.0" w:type="dxa"/>
              <w:left w:w="100.0" w:type="dxa"/>
              <w:bottom w:w="100.0" w:type="dxa"/>
              <w:right w:w="100.0" w:type="dxa"/>
            </w:tcMar>
            <w:vAlign w:val="top"/>
          </w:tcPr>
          <w:p w:rsidR="00000000" w:rsidDel="00000000" w:rsidP="00000000" w:rsidRDefault="00000000" w:rsidRPr="00000000" w14:paraId="00000108">
            <w:pPr>
              <w:widowControl w:val="0"/>
              <w:spacing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32.100,00</w:t>
            </w:r>
          </w:p>
        </w:tc>
        <w:tc>
          <w:tcPr>
            <w:shd w:fill="auto" w:val="clear"/>
            <w:tcMar>
              <w:top w:w="100.0" w:type="dxa"/>
              <w:left w:w="100.0" w:type="dxa"/>
              <w:bottom w:w="100.0" w:type="dxa"/>
              <w:right w:w="100.0" w:type="dxa"/>
            </w:tcMar>
            <w:vAlign w:val="top"/>
          </w:tcPr>
          <w:p w:rsidR="00000000" w:rsidDel="00000000" w:rsidP="00000000" w:rsidRDefault="00000000" w:rsidRPr="00000000" w14:paraId="00000109">
            <w:pPr>
              <w:widowControl w:val="0"/>
              <w:spacing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32.400,00</w:t>
            </w:r>
          </w:p>
        </w:tc>
        <w:tc>
          <w:tcPr>
            <w:shd w:fill="auto" w:val="clear"/>
            <w:tcMar>
              <w:top w:w="100.0" w:type="dxa"/>
              <w:left w:w="100.0" w:type="dxa"/>
              <w:bottom w:w="100.0" w:type="dxa"/>
              <w:right w:w="100.0" w:type="dxa"/>
            </w:tcMar>
            <w:vAlign w:val="top"/>
          </w:tcPr>
          <w:p w:rsidR="00000000" w:rsidDel="00000000" w:rsidP="00000000" w:rsidRDefault="00000000" w:rsidRPr="00000000" w14:paraId="0000010A">
            <w:pPr>
              <w:widowControl w:val="0"/>
              <w:spacing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109.300,00</w:t>
            </w:r>
          </w:p>
        </w:tc>
      </w:tr>
    </w:tbl>
    <w:p w:rsidR="00000000" w:rsidDel="00000000" w:rsidP="00000000" w:rsidRDefault="00000000" w:rsidRPr="00000000" w14:paraId="0000010B">
      <w:pPr>
        <w:spacing w:after="60" w:before="120" w:lineRule="auto"/>
        <w:rPr>
          <w:rFonts w:ascii="Titillium" w:cs="Titillium" w:eastAsia="Titillium" w:hAnsi="Titillium"/>
          <w:sz w:val="18"/>
          <w:szCs w:val="18"/>
          <w:highlight w:val="white"/>
        </w:rPr>
      </w:pPr>
      <w:r w:rsidDel="00000000" w:rsidR="00000000" w:rsidRPr="00000000">
        <w:rPr>
          <w:rtl w:val="0"/>
        </w:rPr>
      </w:r>
    </w:p>
    <w:p w:rsidR="00000000" w:rsidDel="00000000" w:rsidP="00000000" w:rsidRDefault="00000000" w:rsidRPr="00000000" w14:paraId="0000010C">
      <w:pPr>
        <w:spacing w:after="60" w:before="60" w:lineRule="auto"/>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sz w:val="18"/>
          <w:szCs w:val="18"/>
          <w:rtl w:val="0"/>
        </w:rPr>
        <w:t xml:space="preserve">Il </w:t>
      </w:r>
      <w:r w:rsidDel="00000000" w:rsidR="00000000" w:rsidRPr="00000000">
        <w:rPr>
          <w:rFonts w:ascii="Titillium" w:cs="Titillium" w:eastAsia="Titillium" w:hAnsi="Titillium"/>
          <w:b w:val="1"/>
          <w:sz w:val="18"/>
          <w:szCs w:val="18"/>
          <w:rtl w:val="0"/>
        </w:rPr>
        <w:t xml:space="preserve">valore globale stimato</w:t>
      </w:r>
      <w:r w:rsidDel="00000000" w:rsidR="00000000" w:rsidRPr="00000000">
        <w:rPr>
          <w:rFonts w:ascii="Titillium" w:cs="Titillium" w:eastAsia="Titillium" w:hAnsi="Titillium"/>
          <w:sz w:val="18"/>
          <w:szCs w:val="18"/>
          <w:rtl w:val="0"/>
        </w:rPr>
        <w:t xml:space="preserve"> dell’appalto è pari ad €  737.775,00 al netto di Iva così suddiviso: </w:t>
      </w:r>
      <w:r w:rsidDel="00000000" w:rsidR="00000000" w:rsidRPr="00000000">
        <w:rPr>
          <w:rFonts w:ascii="Titillium" w:cs="Titillium" w:eastAsia="Titillium" w:hAnsi="Titillium"/>
          <w:i w:val="1"/>
          <w:sz w:val="18"/>
          <w:szCs w:val="18"/>
          <w:rtl w:val="0"/>
        </w:rPr>
        <w:t xml:space="preserve"> </w:t>
        <w:br w:type="textWrapping"/>
      </w: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Tabella 3 Lotto 1</w:t>
      </w:r>
    </w:p>
    <w:tbl>
      <w:tblPr>
        <w:tblStyle w:val="Table6"/>
        <w:tblW w:w="9214.0" w:type="dxa"/>
        <w:jc w:val="left"/>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400"/>
      </w:tblPr>
      <w:tblGrid>
        <w:gridCol w:w="5949"/>
        <w:gridCol w:w="3265"/>
        <w:tblGridChange w:id="0">
          <w:tblGrid>
            <w:gridCol w:w="5949"/>
            <w:gridCol w:w="3265"/>
          </w:tblGrid>
        </w:tblGridChange>
      </w:tblGrid>
      <w:tr>
        <w:trPr>
          <w:cantSplit w:val="0"/>
          <w:tblHeader w:val="0"/>
        </w:trPr>
        <w:tc>
          <w:tcPr/>
          <w:p w:rsidR="00000000" w:rsidDel="00000000" w:rsidP="00000000" w:rsidRDefault="00000000" w:rsidRPr="00000000" w14:paraId="0000010D">
            <w:pPr>
              <w:rPr>
                <w:rFonts w:ascii="Titillium" w:cs="Titillium" w:eastAsia="Titillium" w:hAnsi="Titillium"/>
                <w:sz w:val="18"/>
                <w:szCs w:val="18"/>
              </w:rPr>
            </w:pPr>
            <w:r w:rsidDel="00000000" w:rsidR="00000000" w:rsidRPr="00000000">
              <w:rPr>
                <w:rFonts w:ascii="Titillium" w:cs="Titillium" w:eastAsia="Titillium" w:hAnsi="Titillium"/>
                <w:b w:val="1"/>
                <w:sz w:val="18"/>
                <w:szCs w:val="18"/>
                <w:rtl w:val="0"/>
              </w:rPr>
              <w:t xml:space="preserve">Importo complessivo </w:t>
            </w:r>
            <w:r w:rsidDel="00000000" w:rsidR="00000000" w:rsidRPr="00000000">
              <w:rPr>
                <w:rtl w:val="0"/>
              </w:rPr>
            </w:r>
          </w:p>
        </w:tc>
        <w:tc>
          <w:tcPr/>
          <w:p w:rsidR="00000000" w:rsidDel="00000000" w:rsidP="00000000" w:rsidRDefault="00000000" w:rsidRPr="00000000" w14:paraId="0000010E">
            <w:pPr>
              <w:rPr>
                <w:rFonts w:ascii="Titillium" w:cs="Titillium" w:eastAsia="Titillium" w:hAnsi="Titillium"/>
                <w:b w:val="1"/>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10F">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Importo a base di gara</w:t>
            </w:r>
          </w:p>
        </w:tc>
        <w:tc>
          <w:tcPr/>
          <w:p w:rsidR="00000000" w:rsidDel="00000000" w:rsidP="00000000" w:rsidRDefault="00000000" w:rsidRPr="00000000" w14:paraId="00000110">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129.000,00</w:t>
            </w:r>
          </w:p>
        </w:tc>
      </w:tr>
      <w:tr>
        <w:trPr>
          <w:cantSplit w:val="0"/>
          <w:tblHeader w:val="0"/>
        </w:trPr>
        <w:tc>
          <w:tcPr/>
          <w:p w:rsidR="00000000" w:rsidDel="00000000" w:rsidP="00000000" w:rsidRDefault="00000000" w:rsidRPr="00000000" w14:paraId="00000111">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Importo per l’opzione di proroga</w:t>
            </w:r>
          </w:p>
        </w:tc>
        <w:tc>
          <w:tcPr/>
          <w:p w:rsidR="00000000" w:rsidDel="00000000" w:rsidP="00000000" w:rsidRDefault="00000000" w:rsidRPr="00000000" w14:paraId="00000112">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  19.350,00</w:t>
            </w:r>
          </w:p>
        </w:tc>
      </w:tr>
      <w:tr>
        <w:trPr>
          <w:cantSplit w:val="0"/>
          <w:tblHeader w:val="0"/>
        </w:trPr>
        <w:tc>
          <w:tcPr/>
          <w:p w:rsidR="00000000" w:rsidDel="00000000" w:rsidP="00000000" w:rsidRDefault="00000000" w:rsidRPr="00000000" w14:paraId="00000113">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Importo massimo del servizio opzionale per erogatore acqua</w:t>
            </w:r>
          </w:p>
        </w:tc>
        <w:tc>
          <w:tcPr/>
          <w:p w:rsidR="00000000" w:rsidDel="00000000" w:rsidP="00000000" w:rsidRDefault="00000000" w:rsidRPr="00000000" w14:paraId="00000114">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  25.800,00</w:t>
            </w:r>
          </w:p>
        </w:tc>
      </w:tr>
      <w:tr>
        <w:trPr>
          <w:cantSplit w:val="0"/>
          <w:tblHeader w:val="0"/>
        </w:trPr>
        <w:tc>
          <w:tcPr/>
          <w:p w:rsidR="00000000" w:rsidDel="00000000" w:rsidP="00000000" w:rsidRDefault="00000000" w:rsidRPr="00000000" w14:paraId="00000115">
            <w:pPr>
              <w:jc w:val="right"/>
              <w:rPr>
                <w:rFonts w:ascii="Titillium" w:cs="Titillium" w:eastAsia="Titillium" w:hAnsi="Titillium"/>
                <w:sz w:val="18"/>
                <w:szCs w:val="18"/>
              </w:rPr>
            </w:pPr>
            <w:r w:rsidDel="00000000" w:rsidR="00000000" w:rsidRPr="00000000">
              <w:rPr>
                <w:rFonts w:ascii="Titillium" w:cs="Titillium" w:eastAsia="Titillium" w:hAnsi="Titillium"/>
                <w:b w:val="1"/>
                <w:sz w:val="18"/>
                <w:szCs w:val="18"/>
                <w:rtl w:val="0"/>
              </w:rPr>
              <w:t xml:space="preserve">Valore globale stimato</w:t>
            </w:r>
            <w:r w:rsidDel="00000000" w:rsidR="00000000" w:rsidRPr="00000000">
              <w:rPr>
                <w:rtl w:val="0"/>
              </w:rPr>
            </w:r>
          </w:p>
        </w:tc>
        <w:tc>
          <w:tcPr/>
          <w:p w:rsidR="00000000" w:rsidDel="00000000" w:rsidP="00000000" w:rsidRDefault="00000000" w:rsidRPr="00000000" w14:paraId="00000116">
            <w:pPr>
              <w:rPr>
                <w:rFonts w:ascii="Titillium" w:cs="Titillium" w:eastAsia="Titillium" w:hAnsi="Titillium"/>
                <w:b w:val="1"/>
                <w:sz w:val="18"/>
                <w:szCs w:val="18"/>
              </w:rPr>
            </w:pPr>
            <w:r w:rsidDel="00000000" w:rsidR="00000000" w:rsidRPr="00000000">
              <w:rPr>
                <w:rFonts w:ascii="Titillium" w:cs="Titillium" w:eastAsia="Titillium" w:hAnsi="Titillium"/>
                <w:sz w:val="18"/>
                <w:szCs w:val="18"/>
                <w:rtl w:val="0"/>
              </w:rPr>
              <w:t xml:space="preserve">  </w:t>
            </w:r>
            <w:r w:rsidDel="00000000" w:rsidR="00000000" w:rsidRPr="00000000">
              <w:rPr>
                <w:rFonts w:ascii="Titillium" w:cs="Titillium" w:eastAsia="Titillium" w:hAnsi="Titillium"/>
                <w:b w:val="1"/>
                <w:sz w:val="18"/>
                <w:szCs w:val="18"/>
                <w:rtl w:val="0"/>
              </w:rPr>
              <w:t xml:space="preserve">174.150,00</w:t>
            </w:r>
          </w:p>
        </w:tc>
      </w:tr>
    </w:tbl>
    <w:p w:rsidR="00000000" w:rsidDel="00000000" w:rsidP="00000000" w:rsidRDefault="00000000" w:rsidRPr="00000000" w14:paraId="00000117">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Tabella 3 Lotto 2</w:t>
      </w:r>
    </w:p>
    <w:tbl>
      <w:tblPr>
        <w:tblStyle w:val="Table7"/>
        <w:tblW w:w="9214.0" w:type="dxa"/>
        <w:jc w:val="left"/>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400"/>
      </w:tblPr>
      <w:tblGrid>
        <w:gridCol w:w="5949"/>
        <w:gridCol w:w="3265"/>
        <w:tblGridChange w:id="0">
          <w:tblGrid>
            <w:gridCol w:w="5949"/>
            <w:gridCol w:w="3265"/>
          </w:tblGrid>
        </w:tblGridChange>
      </w:tblGrid>
      <w:tr>
        <w:trPr>
          <w:cantSplit w:val="0"/>
          <w:tblHeader w:val="0"/>
        </w:trPr>
        <w:tc>
          <w:tcPr/>
          <w:p w:rsidR="00000000" w:rsidDel="00000000" w:rsidP="00000000" w:rsidRDefault="00000000" w:rsidRPr="00000000" w14:paraId="00000118">
            <w:pPr>
              <w:rPr>
                <w:rFonts w:ascii="Titillium" w:cs="Titillium" w:eastAsia="Titillium" w:hAnsi="Titillium"/>
                <w:sz w:val="18"/>
                <w:szCs w:val="18"/>
              </w:rPr>
            </w:pPr>
            <w:r w:rsidDel="00000000" w:rsidR="00000000" w:rsidRPr="00000000">
              <w:rPr>
                <w:rFonts w:ascii="Titillium" w:cs="Titillium" w:eastAsia="Titillium" w:hAnsi="Titillium"/>
                <w:b w:val="1"/>
                <w:sz w:val="18"/>
                <w:szCs w:val="18"/>
                <w:rtl w:val="0"/>
              </w:rPr>
              <w:t xml:space="preserve">Importo complessivo  </w:t>
            </w:r>
            <w:r w:rsidDel="00000000" w:rsidR="00000000" w:rsidRPr="00000000">
              <w:rPr>
                <w:rtl w:val="0"/>
              </w:rPr>
            </w:r>
          </w:p>
        </w:tc>
        <w:tc>
          <w:tcPr/>
          <w:p w:rsidR="00000000" w:rsidDel="00000000" w:rsidP="00000000" w:rsidRDefault="00000000" w:rsidRPr="00000000" w14:paraId="00000119">
            <w:pPr>
              <w:rPr>
                <w:rFonts w:ascii="Titillium" w:cs="Titillium" w:eastAsia="Titillium" w:hAnsi="Titillium"/>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11A">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Importo a base di gara</w:t>
            </w:r>
          </w:p>
        </w:tc>
        <w:tc>
          <w:tcPr/>
          <w:p w:rsidR="00000000" w:rsidDel="00000000" w:rsidP="00000000" w:rsidRDefault="00000000" w:rsidRPr="00000000" w14:paraId="0000011B">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 95.000,00</w:t>
            </w:r>
          </w:p>
        </w:tc>
      </w:tr>
      <w:tr>
        <w:trPr>
          <w:cantSplit w:val="0"/>
          <w:tblHeader w:val="0"/>
        </w:trPr>
        <w:tc>
          <w:tcPr/>
          <w:p w:rsidR="00000000" w:rsidDel="00000000" w:rsidP="00000000" w:rsidRDefault="00000000" w:rsidRPr="00000000" w14:paraId="0000011C">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Importo per l’opzione di proroga</w:t>
            </w:r>
          </w:p>
        </w:tc>
        <w:tc>
          <w:tcPr/>
          <w:p w:rsidR="00000000" w:rsidDel="00000000" w:rsidP="00000000" w:rsidRDefault="00000000" w:rsidRPr="00000000" w14:paraId="0000011D">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 14.250,00</w:t>
            </w:r>
          </w:p>
        </w:tc>
      </w:tr>
      <w:tr>
        <w:trPr>
          <w:cantSplit w:val="0"/>
          <w:tblHeader w:val="0"/>
        </w:trPr>
        <w:tc>
          <w:tcPr/>
          <w:p w:rsidR="00000000" w:rsidDel="00000000" w:rsidP="00000000" w:rsidRDefault="00000000" w:rsidRPr="00000000" w14:paraId="0000011E">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Importo massimo del del servizio opzionale per erogatore acqua</w:t>
            </w:r>
          </w:p>
        </w:tc>
        <w:tc>
          <w:tcPr/>
          <w:p w:rsidR="00000000" w:rsidDel="00000000" w:rsidP="00000000" w:rsidRDefault="00000000" w:rsidRPr="00000000" w14:paraId="0000011F">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19.000,00</w:t>
            </w:r>
          </w:p>
        </w:tc>
      </w:tr>
      <w:tr>
        <w:trPr>
          <w:cantSplit w:val="0"/>
          <w:tblHeader w:val="0"/>
        </w:trPr>
        <w:tc>
          <w:tcPr/>
          <w:p w:rsidR="00000000" w:rsidDel="00000000" w:rsidP="00000000" w:rsidRDefault="00000000" w:rsidRPr="00000000" w14:paraId="00000120">
            <w:pPr>
              <w:jc w:val="right"/>
              <w:rPr>
                <w:rFonts w:ascii="Titillium" w:cs="Titillium" w:eastAsia="Titillium" w:hAnsi="Titillium"/>
                <w:sz w:val="18"/>
                <w:szCs w:val="18"/>
              </w:rPr>
            </w:pPr>
            <w:r w:rsidDel="00000000" w:rsidR="00000000" w:rsidRPr="00000000">
              <w:rPr>
                <w:rFonts w:ascii="Titillium" w:cs="Titillium" w:eastAsia="Titillium" w:hAnsi="Titillium"/>
                <w:b w:val="1"/>
                <w:sz w:val="18"/>
                <w:szCs w:val="18"/>
                <w:rtl w:val="0"/>
              </w:rPr>
              <w:t xml:space="preserve">Valore globale stimato</w:t>
            </w:r>
            <w:r w:rsidDel="00000000" w:rsidR="00000000" w:rsidRPr="00000000">
              <w:rPr>
                <w:rtl w:val="0"/>
              </w:rPr>
            </w:r>
          </w:p>
        </w:tc>
        <w:tc>
          <w:tcPr/>
          <w:p w:rsidR="00000000" w:rsidDel="00000000" w:rsidP="00000000" w:rsidRDefault="00000000" w:rsidRPr="00000000" w14:paraId="00000121">
            <w:pPr>
              <w:rPr>
                <w:rFonts w:ascii="Titillium" w:cs="Titillium" w:eastAsia="Titillium" w:hAnsi="Titillium"/>
                <w:b w:val="1"/>
                <w:sz w:val="18"/>
                <w:szCs w:val="18"/>
              </w:rPr>
            </w:pPr>
            <w:r w:rsidDel="00000000" w:rsidR="00000000" w:rsidRPr="00000000">
              <w:rPr>
                <w:rFonts w:ascii="Titillium" w:cs="Titillium" w:eastAsia="Titillium" w:hAnsi="Titillium"/>
                <w:b w:val="1"/>
                <w:sz w:val="18"/>
                <w:szCs w:val="18"/>
                <w:rtl w:val="0"/>
              </w:rPr>
              <w:t xml:space="preserve">128.250,00</w:t>
            </w:r>
          </w:p>
        </w:tc>
      </w:tr>
    </w:tbl>
    <w:p w:rsidR="00000000" w:rsidDel="00000000" w:rsidP="00000000" w:rsidRDefault="00000000" w:rsidRPr="00000000" w14:paraId="00000122">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Tabella 3 Lotto 3</w:t>
      </w:r>
    </w:p>
    <w:tbl>
      <w:tblPr>
        <w:tblStyle w:val="Table8"/>
        <w:tblW w:w="9214.0" w:type="dxa"/>
        <w:jc w:val="left"/>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400"/>
      </w:tblPr>
      <w:tblGrid>
        <w:gridCol w:w="5949"/>
        <w:gridCol w:w="3265"/>
        <w:tblGridChange w:id="0">
          <w:tblGrid>
            <w:gridCol w:w="5949"/>
            <w:gridCol w:w="3265"/>
          </w:tblGrid>
        </w:tblGridChange>
      </w:tblGrid>
      <w:tr>
        <w:trPr>
          <w:cantSplit w:val="0"/>
          <w:tblHeader w:val="0"/>
        </w:trPr>
        <w:tc>
          <w:tcPr/>
          <w:p w:rsidR="00000000" w:rsidDel="00000000" w:rsidP="00000000" w:rsidRDefault="00000000" w:rsidRPr="00000000" w14:paraId="00000123">
            <w:pPr>
              <w:rPr>
                <w:rFonts w:ascii="Titillium" w:cs="Titillium" w:eastAsia="Titillium" w:hAnsi="Titillium"/>
                <w:sz w:val="18"/>
                <w:szCs w:val="18"/>
              </w:rPr>
            </w:pPr>
            <w:r w:rsidDel="00000000" w:rsidR="00000000" w:rsidRPr="00000000">
              <w:rPr>
                <w:rFonts w:ascii="Titillium" w:cs="Titillium" w:eastAsia="Titillium" w:hAnsi="Titillium"/>
                <w:b w:val="1"/>
                <w:sz w:val="18"/>
                <w:szCs w:val="18"/>
                <w:rtl w:val="0"/>
              </w:rPr>
              <w:t xml:space="preserve">Importo complessivo  </w:t>
            </w:r>
            <w:r w:rsidDel="00000000" w:rsidR="00000000" w:rsidRPr="00000000">
              <w:rPr>
                <w:rtl w:val="0"/>
              </w:rPr>
            </w:r>
          </w:p>
        </w:tc>
        <w:tc>
          <w:tcPr/>
          <w:p w:rsidR="00000000" w:rsidDel="00000000" w:rsidP="00000000" w:rsidRDefault="00000000" w:rsidRPr="00000000" w14:paraId="00000124">
            <w:pPr>
              <w:rPr>
                <w:rFonts w:ascii="Titillium" w:cs="Titillium" w:eastAsia="Titillium" w:hAnsi="Titillium"/>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125">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Importo a base di gara</w:t>
            </w:r>
          </w:p>
        </w:tc>
        <w:tc>
          <w:tcPr/>
          <w:p w:rsidR="00000000" w:rsidDel="00000000" w:rsidP="00000000" w:rsidRDefault="00000000" w:rsidRPr="00000000" w14:paraId="00000126">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160.500,00</w:t>
            </w:r>
          </w:p>
        </w:tc>
      </w:tr>
      <w:tr>
        <w:trPr>
          <w:cantSplit w:val="0"/>
          <w:tblHeader w:val="0"/>
        </w:trPr>
        <w:tc>
          <w:tcPr/>
          <w:p w:rsidR="00000000" w:rsidDel="00000000" w:rsidP="00000000" w:rsidRDefault="00000000" w:rsidRPr="00000000" w14:paraId="00000127">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Importo per l’opzione di proroga</w:t>
            </w:r>
          </w:p>
        </w:tc>
        <w:tc>
          <w:tcPr/>
          <w:p w:rsidR="00000000" w:rsidDel="00000000" w:rsidP="00000000" w:rsidRDefault="00000000" w:rsidRPr="00000000" w14:paraId="00000128">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 24.075,00</w:t>
            </w:r>
          </w:p>
        </w:tc>
      </w:tr>
      <w:tr>
        <w:trPr>
          <w:cantSplit w:val="0"/>
          <w:tblHeader w:val="0"/>
        </w:trPr>
        <w:tc>
          <w:tcPr/>
          <w:p w:rsidR="00000000" w:rsidDel="00000000" w:rsidP="00000000" w:rsidRDefault="00000000" w:rsidRPr="00000000" w14:paraId="00000129">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Importo massimo del del servizio opzionale per erogatore acqua</w:t>
            </w:r>
          </w:p>
        </w:tc>
        <w:tc>
          <w:tcPr/>
          <w:p w:rsidR="00000000" w:rsidDel="00000000" w:rsidP="00000000" w:rsidRDefault="00000000" w:rsidRPr="00000000" w14:paraId="0000012A">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 32.100,00</w:t>
            </w:r>
          </w:p>
        </w:tc>
      </w:tr>
      <w:tr>
        <w:trPr>
          <w:cantSplit w:val="0"/>
          <w:tblHeader w:val="0"/>
        </w:trPr>
        <w:tc>
          <w:tcPr/>
          <w:p w:rsidR="00000000" w:rsidDel="00000000" w:rsidP="00000000" w:rsidRDefault="00000000" w:rsidRPr="00000000" w14:paraId="0000012B">
            <w:pPr>
              <w:jc w:val="right"/>
              <w:rPr>
                <w:rFonts w:ascii="Titillium" w:cs="Titillium" w:eastAsia="Titillium" w:hAnsi="Titillium"/>
                <w:sz w:val="18"/>
                <w:szCs w:val="18"/>
              </w:rPr>
            </w:pPr>
            <w:r w:rsidDel="00000000" w:rsidR="00000000" w:rsidRPr="00000000">
              <w:rPr>
                <w:rFonts w:ascii="Titillium" w:cs="Titillium" w:eastAsia="Titillium" w:hAnsi="Titillium"/>
                <w:b w:val="1"/>
                <w:sz w:val="18"/>
                <w:szCs w:val="18"/>
                <w:rtl w:val="0"/>
              </w:rPr>
              <w:t xml:space="preserve">Valore globale stimato</w:t>
            </w:r>
            <w:r w:rsidDel="00000000" w:rsidR="00000000" w:rsidRPr="00000000">
              <w:rPr>
                <w:rtl w:val="0"/>
              </w:rPr>
            </w:r>
          </w:p>
        </w:tc>
        <w:tc>
          <w:tcPr/>
          <w:p w:rsidR="00000000" w:rsidDel="00000000" w:rsidP="00000000" w:rsidRDefault="00000000" w:rsidRPr="00000000" w14:paraId="0000012C">
            <w:pPr>
              <w:rPr>
                <w:rFonts w:ascii="Titillium" w:cs="Titillium" w:eastAsia="Titillium" w:hAnsi="Titillium"/>
                <w:b w:val="1"/>
                <w:sz w:val="18"/>
                <w:szCs w:val="18"/>
              </w:rPr>
            </w:pPr>
            <w:r w:rsidDel="00000000" w:rsidR="00000000" w:rsidRPr="00000000">
              <w:rPr>
                <w:rFonts w:ascii="Titillium" w:cs="Titillium" w:eastAsia="Titillium" w:hAnsi="Titillium"/>
                <w:b w:val="1"/>
                <w:sz w:val="18"/>
                <w:szCs w:val="18"/>
                <w:rtl w:val="0"/>
              </w:rPr>
              <w:t xml:space="preserve">216.675,00</w:t>
            </w:r>
          </w:p>
        </w:tc>
      </w:tr>
    </w:tbl>
    <w:p w:rsidR="00000000" w:rsidDel="00000000" w:rsidP="00000000" w:rsidRDefault="00000000" w:rsidRPr="00000000" w14:paraId="0000012D">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Tabella 4 Lotto 4</w:t>
      </w:r>
    </w:p>
    <w:tbl>
      <w:tblPr>
        <w:tblStyle w:val="Table9"/>
        <w:tblW w:w="9214.0" w:type="dxa"/>
        <w:jc w:val="left"/>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400"/>
      </w:tblPr>
      <w:tblGrid>
        <w:gridCol w:w="5949"/>
        <w:gridCol w:w="3265"/>
        <w:tblGridChange w:id="0">
          <w:tblGrid>
            <w:gridCol w:w="5949"/>
            <w:gridCol w:w="3265"/>
          </w:tblGrid>
        </w:tblGridChange>
      </w:tblGrid>
      <w:tr>
        <w:trPr>
          <w:cantSplit w:val="0"/>
          <w:tblHeader w:val="0"/>
        </w:trPr>
        <w:tc>
          <w:tcPr/>
          <w:p w:rsidR="00000000" w:rsidDel="00000000" w:rsidP="00000000" w:rsidRDefault="00000000" w:rsidRPr="00000000" w14:paraId="0000012E">
            <w:pPr>
              <w:rPr>
                <w:rFonts w:ascii="Titillium" w:cs="Titillium" w:eastAsia="Titillium" w:hAnsi="Titillium"/>
                <w:sz w:val="18"/>
                <w:szCs w:val="18"/>
              </w:rPr>
            </w:pPr>
            <w:r w:rsidDel="00000000" w:rsidR="00000000" w:rsidRPr="00000000">
              <w:rPr>
                <w:rFonts w:ascii="Titillium" w:cs="Titillium" w:eastAsia="Titillium" w:hAnsi="Titillium"/>
                <w:b w:val="1"/>
                <w:sz w:val="18"/>
                <w:szCs w:val="18"/>
                <w:rtl w:val="0"/>
              </w:rPr>
              <w:t xml:space="preserve">Importo complessivo  </w:t>
            </w:r>
            <w:r w:rsidDel="00000000" w:rsidR="00000000" w:rsidRPr="00000000">
              <w:rPr>
                <w:rtl w:val="0"/>
              </w:rPr>
            </w:r>
          </w:p>
        </w:tc>
        <w:tc>
          <w:tcPr/>
          <w:p w:rsidR="00000000" w:rsidDel="00000000" w:rsidP="00000000" w:rsidRDefault="00000000" w:rsidRPr="00000000" w14:paraId="0000012F">
            <w:pPr>
              <w:rPr>
                <w:rFonts w:ascii="Titillium" w:cs="Titillium" w:eastAsia="Titillium" w:hAnsi="Titillium"/>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130">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Importo a base di gara</w:t>
            </w:r>
          </w:p>
        </w:tc>
        <w:tc>
          <w:tcPr/>
          <w:p w:rsidR="00000000" w:rsidDel="00000000" w:rsidP="00000000" w:rsidRDefault="00000000" w:rsidRPr="00000000" w14:paraId="00000131">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162.000,00</w:t>
            </w:r>
          </w:p>
        </w:tc>
      </w:tr>
      <w:tr>
        <w:trPr>
          <w:cantSplit w:val="0"/>
          <w:trHeight w:val="178.02978515625" w:hRule="atLeast"/>
          <w:tblHeader w:val="0"/>
        </w:trPr>
        <w:tc>
          <w:tcPr/>
          <w:p w:rsidR="00000000" w:rsidDel="00000000" w:rsidP="00000000" w:rsidRDefault="00000000" w:rsidRPr="00000000" w14:paraId="00000132">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Importo per l’opzione di proroga</w:t>
            </w:r>
          </w:p>
        </w:tc>
        <w:tc>
          <w:tcPr/>
          <w:p w:rsidR="00000000" w:rsidDel="00000000" w:rsidP="00000000" w:rsidRDefault="00000000" w:rsidRPr="00000000" w14:paraId="00000133">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  24.300,00</w:t>
            </w:r>
          </w:p>
        </w:tc>
      </w:tr>
      <w:tr>
        <w:trPr>
          <w:cantSplit w:val="0"/>
          <w:tblHeader w:val="0"/>
        </w:trPr>
        <w:tc>
          <w:tcPr/>
          <w:p w:rsidR="00000000" w:rsidDel="00000000" w:rsidP="00000000" w:rsidRDefault="00000000" w:rsidRPr="00000000" w14:paraId="00000134">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Importo massimo del del servizio opzionale per erogatore acqua</w:t>
            </w:r>
          </w:p>
        </w:tc>
        <w:tc>
          <w:tcPr/>
          <w:p w:rsidR="00000000" w:rsidDel="00000000" w:rsidP="00000000" w:rsidRDefault="00000000" w:rsidRPr="00000000" w14:paraId="00000135">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  32.400,00</w:t>
            </w:r>
          </w:p>
        </w:tc>
      </w:tr>
      <w:tr>
        <w:trPr>
          <w:cantSplit w:val="0"/>
          <w:tblHeader w:val="0"/>
        </w:trPr>
        <w:tc>
          <w:tcPr/>
          <w:p w:rsidR="00000000" w:rsidDel="00000000" w:rsidP="00000000" w:rsidRDefault="00000000" w:rsidRPr="00000000" w14:paraId="00000136">
            <w:pPr>
              <w:jc w:val="right"/>
              <w:rPr>
                <w:rFonts w:ascii="Titillium" w:cs="Titillium" w:eastAsia="Titillium" w:hAnsi="Titillium"/>
                <w:sz w:val="18"/>
                <w:szCs w:val="18"/>
              </w:rPr>
            </w:pPr>
            <w:r w:rsidDel="00000000" w:rsidR="00000000" w:rsidRPr="00000000">
              <w:rPr>
                <w:rFonts w:ascii="Titillium" w:cs="Titillium" w:eastAsia="Titillium" w:hAnsi="Titillium"/>
                <w:b w:val="1"/>
                <w:sz w:val="18"/>
                <w:szCs w:val="18"/>
                <w:rtl w:val="0"/>
              </w:rPr>
              <w:t xml:space="preserve">Valore globale stimato</w:t>
            </w:r>
            <w:r w:rsidDel="00000000" w:rsidR="00000000" w:rsidRPr="00000000">
              <w:rPr>
                <w:rtl w:val="0"/>
              </w:rPr>
            </w:r>
          </w:p>
        </w:tc>
        <w:tc>
          <w:tcPr/>
          <w:p w:rsidR="00000000" w:rsidDel="00000000" w:rsidP="00000000" w:rsidRDefault="00000000" w:rsidRPr="00000000" w14:paraId="00000137">
            <w:pPr>
              <w:rPr>
                <w:rFonts w:ascii="Titillium" w:cs="Titillium" w:eastAsia="Titillium" w:hAnsi="Titillium"/>
                <w:b w:val="1"/>
                <w:sz w:val="18"/>
                <w:szCs w:val="18"/>
              </w:rPr>
            </w:pPr>
            <w:r w:rsidDel="00000000" w:rsidR="00000000" w:rsidRPr="00000000">
              <w:rPr>
                <w:rFonts w:ascii="Titillium" w:cs="Titillium" w:eastAsia="Titillium" w:hAnsi="Titillium"/>
                <w:b w:val="1"/>
                <w:sz w:val="18"/>
                <w:szCs w:val="18"/>
                <w:rtl w:val="0"/>
              </w:rPr>
              <w:t xml:space="preserve">218.700,00</w:t>
            </w:r>
          </w:p>
        </w:tc>
      </w:tr>
    </w:tbl>
    <w:p w:rsidR="00000000" w:rsidDel="00000000" w:rsidP="00000000" w:rsidRDefault="00000000" w:rsidRPr="00000000" w14:paraId="00000138">
      <w:pPr>
        <w:rPr/>
      </w:pPr>
      <w:r w:rsidDel="00000000" w:rsidR="00000000" w:rsidRPr="00000000">
        <w:rPr>
          <w:rtl w:val="0"/>
        </w:rPr>
      </w:r>
    </w:p>
    <w:p w:rsidR="00000000" w:rsidDel="00000000" w:rsidP="00000000" w:rsidRDefault="00000000" w:rsidRPr="00000000" w14:paraId="00000139">
      <w:pPr>
        <w:pStyle w:val="Heading1"/>
        <w:rPr/>
      </w:pPr>
      <w:bookmarkStart w:colFirst="0" w:colLast="0" w:name="_3whwml4" w:id="13"/>
      <w:bookmarkEnd w:id="13"/>
      <w:r w:rsidDel="00000000" w:rsidR="00000000" w:rsidRPr="00000000">
        <w:rPr>
          <w:rtl w:val="0"/>
        </w:rPr>
        <w:t xml:space="preserve">4 SOGGETTI AMMESSI IN FORMA SINGOLA E ASSOCIATA E CONDIZIONI DI PARTECIPAZIONE</w:t>
      </w:r>
    </w:p>
    <w:p w:rsidR="00000000" w:rsidDel="00000000" w:rsidP="00000000" w:rsidRDefault="00000000" w:rsidRPr="00000000" w14:paraId="0000013A">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Gli operatori economici possono partecipare alla presente gara in forma singola o associata.</w:t>
      </w:r>
    </w:p>
    <w:p w:rsidR="00000000" w:rsidDel="00000000" w:rsidP="00000000" w:rsidRDefault="00000000" w:rsidRPr="00000000" w14:paraId="0000013B">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Ai soggetti costituiti in forma associata si applicano le disposizioni di cui agli articoli 67 e 68 del Codice. </w:t>
      </w:r>
    </w:p>
    <w:p w:rsidR="00000000" w:rsidDel="00000000" w:rsidP="00000000" w:rsidRDefault="00000000" w:rsidRPr="00000000" w14:paraId="0000013C">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 consorzi di cui agli articoli 65, comma 2 del Codice che intendono eseguire le prestazioni tramite i propri consorziati sono tenuti ad indicare per quali consorziati il consorzio concorre.</w:t>
      </w:r>
    </w:p>
    <w:p w:rsidR="00000000" w:rsidDel="00000000" w:rsidP="00000000" w:rsidRDefault="00000000" w:rsidRPr="00000000" w14:paraId="0000013D">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 consorzi di cui all’articolo 65, comma 2, lettere b) e c) sono tenuti ad indicare per quali consorziati il consorzio concorre.</w:t>
      </w:r>
    </w:p>
    <w:p w:rsidR="00000000" w:rsidDel="00000000" w:rsidP="00000000" w:rsidRDefault="00000000" w:rsidRPr="00000000" w14:paraId="0000013E">
      <w:pPr>
        <w:spacing w:after="60" w:before="60" w:lineRule="auto"/>
        <w:rPr>
          <w:rFonts w:ascii="Titillium" w:cs="Titillium" w:eastAsia="Titillium" w:hAnsi="Titillium"/>
          <w:sz w:val="18"/>
          <w:szCs w:val="18"/>
        </w:rPr>
      </w:pPr>
      <w:bookmarkStart w:colFirst="0" w:colLast="0" w:name="_2bn6wsx" w:id="14"/>
      <w:bookmarkEnd w:id="14"/>
      <w:r w:rsidDel="00000000" w:rsidR="00000000" w:rsidRPr="00000000">
        <w:rPr>
          <w:rFonts w:ascii="Titillium" w:cs="Titillium" w:eastAsia="Titillium" w:hAnsi="Titillium"/>
          <w:sz w:val="18"/>
          <w:szCs w:val="18"/>
          <w:rtl w:val="0"/>
        </w:rPr>
        <w:t xml:space="preserve">Il concorrente che partecipa al singolo lotto in una delle forme di seguito indicate è escluso nel caso in cui la stazione appaltante accerti la sussistenza di rilevanti indizi tali da far ritenere che le offerte degli operatori economici siano imputabili ad un unico centro decisionale a cagione di accordi intercorsi con altri operatori economici partecipanti alla stessa gara:</w:t>
      </w:r>
    </w:p>
    <w:p w:rsidR="00000000" w:rsidDel="00000000" w:rsidP="00000000" w:rsidRDefault="00000000" w:rsidRPr="00000000" w14:paraId="0000013F">
      <w:pPr>
        <w:keepNext w:val="0"/>
        <w:keepLines w:val="0"/>
        <w:pageBreakBefore w:val="0"/>
        <w:widowControl w:val="1"/>
        <w:numPr>
          <w:ilvl w:val="0"/>
          <w:numId w:val="27"/>
        </w:numPr>
        <w:pBdr>
          <w:top w:space="0" w:sz="0" w:val="nil"/>
          <w:left w:space="0" w:sz="0" w:val="nil"/>
          <w:bottom w:space="0" w:sz="0" w:val="nil"/>
          <w:right w:space="0" w:sz="0" w:val="nil"/>
          <w:between w:space="0" w:sz="0" w:val="nil"/>
        </w:pBdr>
        <w:shd w:fill="auto" w:val="clear"/>
        <w:spacing w:after="60" w:before="60" w:line="276" w:lineRule="auto"/>
        <w:ind w:left="720"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partecipazione in più</w:t>
      </w:r>
      <w:r w:rsidDel="00000000" w:rsidR="00000000" w:rsidRPr="00000000">
        <w:rPr>
          <w:rFonts w:ascii="Titillium" w:cs="Titillium" w:eastAsia="Titillium" w:hAnsi="Titillium"/>
          <w:b w:val="1"/>
          <w:i w:val="0"/>
          <w:smallCaps w:val="0"/>
          <w:strike w:val="0"/>
          <w:color w:val="000000"/>
          <w:sz w:val="18"/>
          <w:szCs w:val="18"/>
          <w:u w:val="none"/>
          <w:shd w:fill="auto" w:val="clear"/>
          <w:vertAlign w:val="baseline"/>
          <w:rtl w:val="0"/>
        </w:rPr>
        <w:t xml:space="preserve"> </w:t>
      </w: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di un raggruppamento temporaneo o consorzio ordinario di concorrenti o aggregazione di operatori economici aderenti al contratto di rete (nel prosieguo, aggregazione di retisti);</w:t>
      </w:r>
    </w:p>
    <w:p w:rsidR="00000000" w:rsidDel="00000000" w:rsidP="00000000" w:rsidRDefault="00000000" w:rsidRPr="00000000" w14:paraId="00000140">
      <w:pPr>
        <w:keepNext w:val="0"/>
        <w:keepLines w:val="0"/>
        <w:pageBreakBefore w:val="0"/>
        <w:widowControl w:val="1"/>
        <w:numPr>
          <w:ilvl w:val="0"/>
          <w:numId w:val="27"/>
        </w:numPr>
        <w:pBdr>
          <w:top w:space="0" w:sz="0" w:val="nil"/>
          <w:left w:space="0" w:sz="0" w:val="nil"/>
          <w:bottom w:space="0" w:sz="0" w:val="nil"/>
          <w:right w:space="0" w:sz="0" w:val="nil"/>
          <w:between w:space="0" w:sz="0" w:val="nil"/>
        </w:pBdr>
        <w:shd w:fill="auto" w:val="clear"/>
        <w:spacing w:after="60" w:before="60" w:line="276" w:lineRule="auto"/>
        <w:ind w:left="720"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partecipazione sia in raggruppamento o consorzio ordinario di concorrenti sia in forma individuale:</w:t>
      </w:r>
    </w:p>
    <w:p w:rsidR="00000000" w:rsidDel="00000000" w:rsidP="00000000" w:rsidRDefault="00000000" w:rsidRPr="00000000" w14:paraId="00000141">
      <w:pPr>
        <w:keepNext w:val="0"/>
        <w:keepLines w:val="0"/>
        <w:pageBreakBefore w:val="0"/>
        <w:widowControl w:val="1"/>
        <w:numPr>
          <w:ilvl w:val="0"/>
          <w:numId w:val="27"/>
        </w:numPr>
        <w:pBdr>
          <w:top w:space="0" w:sz="0" w:val="nil"/>
          <w:left w:space="0" w:sz="0" w:val="nil"/>
          <w:bottom w:space="0" w:sz="0" w:val="nil"/>
          <w:right w:space="0" w:sz="0" w:val="nil"/>
          <w:between w:space="0" w:sz="0" w:val="nil"/>
        </w:pBdr>
        <w:shd w:fill="auto" w:val="clear"/>
        <w:spacing w:after="60" w:before="60" w:line="276" w:lineRule="auto"/>
        <w:ind w:left="720"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partecipazione sia in aggregazione di retisti sia in forma individuale. Tale esclusione non si applica alle retiste non partecipanti all’aggregazione, le quali possono presentare offerta, per </w:t>
      </w:r>
      <w:r w:rsidDel="00000000" w:rsidR="00000000" w:rsidRPr="00000000">
        <w:rPr>
          <w:rFonts w:ascii="Titillium" w:cs="Titillium" w:eastAsia="Titillium" w:hAnsi="Titillium"/>
          <w:sz w:val="18"/>
          <w:szCs w:val="18"/>
          <w:rtl w:val="0"/>
        </w:rPr>
        <w:t xml:space="preserve">il singolo lotto</w:t>
      </w: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 in forma singola o associata;</w:t>
      </w:r>
    </w:p>
    <w:p w:rsidR="00000000" w:rsidDel="00000000" w:rsidP="00000000" w:rsidRDefault="00000000" w:rsidRPr="00000000" w14:paraId="00000142">
      <w:pPr>
        <w:keepNext w:val="0"/>
        <w:keepLines w:val="0"/>
        <w:pageBreakBefore w:val="0"/>
        <w:widowControl w:val="1"/>
        <w:numPr>
          <w:ilvl w:val="0"/>
          <w:numId w:val="27"/>
        </w:numPr>
        <w:pBdr>
          <w:top w:space="0" w:sz="0" w:val="nil"/>
          <w:left w:space="0" w:sz="0" w:val="nil"/>
          <w:bottom w:space="0" w:sz="0" w:val="nil"/>
          <w:right w:space="0" w:sz="0" w:val="nil"/>
          <w:between w:space="0" w:sz="0" w:val="nil"/>
        </w:pBdr>
        <w:shd w:fill="auto" w:val="clear"/>
        <w:spacing w:after="60" w:before="60" w:line="276" w:lineRule="auto"/>
        <w:ind w:left="720"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partecipazione di un consorzio che ha designato un consorziato esecutore il quale, a sua volta, partecipa in una qualsiasi altra forma.</w:t>
      </w:r>
    </w:p>
    <w:p w:rsidR="00000000" w:rsidDel="00000000" w:rsidP="00000000" w:rsidRDefault="00000000" w:rsidRPr="00000000" w14:paraId="00000143">
      <w:pPr>
        <w:spacing w:after="60" w:before="60" w:lineRule="auto"/>
        <w:rPr>
          <w:rFonts w:ascii="Titillium" w:cs="Titillium" w:eastAsia="Titillium" w:hAnsi="Titillium"/>
          <w:b w:val="1"/>
          <w:i w:val="1"/>
          <w:sz w:val="18"/>
          <w:szCs w:val="18"/>
        </w:rPr>
      </w:pPr>
      <w:r w:rsidDel="00000000" w:rsidR="00000000" w:rsidRPr="00000000">
        <w:rPr>
          <w:rFonts w:ascii="Titillium" w:cs="Titillium" w:eastAsia="Titillium" w:hAnsi="Titillium"/>
          <w:sz w:val="18"/>
          <w:szCs w:val="18"/>
          <w:rtl w:val="0"/>
        </w:rPr>
        <w:t xml:space="preserve">Nel caso venga accertato quanto sopra, si provvede ad informare gli operatori economici coinvolti i quali possono, entro 5</w:t>
      </w:r>
      <w:r w:rsidDel="00000000" w:rsidR="00000000" w:rsidRPr="00000000">
        <w:rPr>
          <w:rFonts w:ascii="Titillium" w:cs="Titillium" w:eastAsia="Titillium" w:hAnsi="Titillium"/>
          <w:i w:val="1"/>
          <w:sz w:val="18"/>
          <w:szCs w:val="18"/>
          <w:rtl w:val="0"/>
        </w:rPr>
        <w:t xml:space="preserve"> </w:t>
      </w:r>
      <w:r w:rsidDel="00000000" w:rsidR="00000000" w:rsidRPr="00000000">
        <w:rPr>
          <w:rFonts w:ascii="Titillium" w:cs="Titillium" w:eastAsia="Titillium" w:hAnsi="Titillium"/>
          <w:sz w:val="18"/>
          <w:szCs w:val="18"/>
          <w:rtl w:val="0"/>
        </w:rPr>
        <w:t xml:space="preserve">giorni, dimostrare che la circostanza non ha influito sulla gara, né è idonea a incidere sulla capacità di rispettare gli obblighi contrattuali. </w:t>
      </w:r>
      <w:r w:rsidDel="00000000" w:rsidR="00000000" w:rsidRPr="00000000">
        <w:rPr>
          <w:rtl w:val="0"/>
        </w:rPr>
      </w:r>
    </w:p>
    <w:p w:rsidR="00000000" w:rsidDel="00000000" w:rsidP="00000000" w:rsidRDefault="00000000" w:rsidRPr="00000000" w14:paraId="00000144">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Le aggregazioni di retisti di cui all’articolo 65, comma 2, lettera g) del Codice, rispettano la disciplina prevista per i raggruppamenti temporanei in quanto compatibile. In particolare:</w:t>
      </w:r>
    </w:p>
    <w:p w:rsidR="00000000" w:rsidDel="00000000" w:rsidP="00000000" w:rsidRDefault="00000000" w:rsidRPr="00000000" w14:paraId="00000145">
      <w:pPr>
        <w:keepNext w:val="0"/>
        <w:keepLines w:val="0"/>
        <w:pageBreakBefore w:val="0"/>
        <w:widowControl w:val="1"/>
        <w:numPr>
          <w:ilvl w:val="3"/>
          <w:numId w:val="24"/>
        </w:numPr>
        <w:pBdr>
          <w:top w:space="0" w:sz="0" w:val="nil"/>
          <w:left w:space="0" w:sz="0" w:val="nil"/>
          <w:bottom w:space="0" w:sz="0" w:val="nil"/>
          <w:right w:space="0" w:sz="0" w:val="nil"/>
          <w:between w:space="0" w:sz="0" w:val="nil"/>
        </w:pBdr>
        <w:shd w:fill="auto" w:val="clear"/>
        <w:spacing w:after="60" w:before="60" w:line="276" w:lineRule="auto"/>
        <w:ind w:left="567" w:right="0" w:hanging="284"/>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nel caso in cui la rete sia dotata di organo comune con potere di rappresentanza e soggettività giuridica (cd. Rete – soggetto), l’aggregazione di retisti partecipa a mezzo dell’organo comune, che assume il ruolo del mandatario, qualora in possesso dei relativi requisiti. L’organo comune può indicare anche solo alcuni tra i retisti per la partecipazione alla gara ma deve obbligatoriamente far parte di questi;</w:t>
      </w:r>
    </w:p>
    <w:p w:rsidR="00000000" w:rsidDel="00000000" w:rsidP="00000000" w:rsidRDefault="00000000" w:rsidRPr="00000000" w14:paraId="00000146">
      <w:pPr>
        <w:keepNext w:val="0"/>
        <w:keepLines w:val="0"/>
        <w:pageBreakBefore w:val="0"/>
        <w:widowControl w:val="1"/>
        <w:numPr>
          <w:ilvl w:val="3"/>
          <w:numId w:val="24"/>
        </w:numPr>
        <w:pBdr>
          <w:top w:space="0" w:sz="0" w:val="nil"/>
          <w:left w:space="0" w:sz="0" w:val="nil"/>
          <w:bottom w:space="0" w:sz="0" w:val="nil"/>
          <w:right w:space="0" w:sz="0" w:val="nil"/>
          <w:between w:space="0" w:sz="0" w:val="nil"/>
        </w:pBdr>
        <w:shd w:fill="auto" w:val="clear"/>
        <w:spacing w:after="60" w:before="60" w:line="276" w:lineRule="auto"/>
        <w:ind w:left="567" w:right="0" w:hanging="284"/>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nel caso in cui la rete sia dotata di organo comune con potere di rappresentanza ma priva di soggettività giuridica (cd. Rete – contratto), l’aggregazione di retisti partecipa a mezzo dell’organo comune, che assume il ruolo del mandatario, qualora in possesso dei requisiti previsti per la mandataria e qualora il contratto di rete rechi mandato allo stesso a presentare domanda di partecipazione o offerta per determinate tipologie di procedure di gara. L’organo comune può indicare anche solo alcuni tra i retisti per la partecipazione alla gara ma deve obbligatoriamente far parte di questi; </w:t>
      </w:r>
    </w:p>
    <w:p w:rsidR="00000000" w:rsidDel="00000000" w:rsidP="00000000" w:rsidRDefault="00000000" w:rsidRPr="00000000" w14:paraId="00000147">
      <w:pPr>
        <w:keepNext w:val="0"/>
        <w:keepLines w:val="0"/>
        <w:pageBreakBefore w:val="0"/>
        <w:widowControl w:val="1"/>
        <w:numPr>
          <w:ilvl w:val="3"/>
          <w:numId w:val="24"/>
        </w:numPr>
        <w:pBdr>
          <w:top w:space="0" w:sz="0" w:val="nil"/>
          <w:left w:space="0" w:sz="0" w:val="nil"/>
          <w:bottom w:space="0" w:sz="0" w:val="nil"/>
          <w:right w:space="0" w:sz="0" w:val="nil"/>
          <w:between w:space="0" w:sz="0" w:val="nil"/>
        </w:pBdr>
        <w:shd w:fill="auto" w:val="clear"/>
        <w:spacing w:after="60" w:before="60" w:line="276" w:lineRule="auto"/>
        <w:ind w:left="567" w:right="0" w:hanging="284"/>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nel caso in cui la rete sia dotata di organo comune privo di potere di rappresentanza ovvero sia sprovvista di organo comune, oppure se l’organo comune è privo dei requisiti di qualificazione, l’aggregazione di retisti partecipa nella forma del raggruppamento costituito o costituendo, con applicazione integrale delle relative regole.</w:t>
      </w:r>
    </w:p>
    <w:p w:rsidR="00000000" w:rsidDel="00000000" w:rsidP="00000000" w:rsidRDefault="00000000" w:rsidRPr="00000000" w14:paraId="00000148">
      <w:pPr>
        <w:spacing w:after="60" w:before="60" w:lineRule="auto"/>
        <w:rPr/>
      </w:pPr>
      <w:r w:rsidDel="00000000" w:rsidR="00000000" w:rsidRPr="00000000">
        <w:rPr>
          <w:rFonts w:ascii="Titillium" w:cs="Titillium" w:eastAsia="Titillium" w:hAnsi="Titillium"/>
          <w:sz w:val="18"/>
          <w:szCs w:val="18"/>
          <w:rtl w:val="0"/>
        </w:rPr>
        <w:t xml:space="preserve">Per tutte le tipologie di rete, la partecipazione congiunta alle gare deve risultare individuata nel contratto di rete come uno degli scopi strategici inclusi nel programma comune, mentre la durata dello stesso dovrà essere commisurata ai tempi di realizzazione dell’appalto.</w:t>
      </w:r>
      <w:r w:rsidDel="00000000" w:rsidR="00000000" w:rsidRPr="00000000">
        <w:rPr>
          <w:rtl w:val="0"/>
        </w:rPr>
      </w:r>
    </w:p>
    <w:p w:rsidR="00000000" w:rsidDel="00000000" w:rsidP="00000000" w:rsidRDefault="00000000" w:rsidRPr="00000000" w14:paraId="00000149">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Ad un raggruppamento temporaneo può partecipare anche un consorzio di cui all’articolo 65, comma 2, lettera b), c), d).</w:t>
      </w:r>
    </w:p>
    <w:p w:rsidR="00000000" w:rsidDel="00000000" w:rsidP="00000000" w:rsidRDefault="00000000" w:rsidRPr="00000000" w14:paraId="0000014A">
      <w:pPr>
        <w:spacing w:after="60" w:before="60" w:lineRule="auto"/>
        <w:rPr/>
      </w:pPr>
      <w:r w:rsidDel="00000000" w:rsidR="00000000" w:rsidRPr="00000000">
        <w:rPr>
          <w:rFonts w:ascii="Titillium" w:cs="Titillium" w:eastAsia="Titillium" w:hAnsi="Titillium"/>
          <w:sz w:val="18"/>
          <w:szCs w:val="18"/>
          <w:rtl w:val="0"/>
        </w:rPr>
        <w:t xml:space="preserve">L’impresa in concordato preventivo può concorrere anche riunita in raggruppamento temporaneo di imprese e sempre che le altre imprese aderenti al raggruppamento temporaneo di imprese non siano assoggettate ad una procedura concorsuale.   </w:t>
      </w:r>
      <w:r w:rsidDel="00000000" w:rsidR="00000000" w:rsidRPr="00000000">
        <w:rPr>
          <w:rtl w:val="0"/>
        </w:rPr>
      </w:r>
    </w:p>
    <w:p w:rsidR="00000000" w:rsidDel="00000000" w:rsidP="00000000" w:rsidRDefault="00000000" w:rsidRPr="00000000" w14:paraId="0000014B">
      <w:pPr>
        <w:pStyle w:val="Heading1"/>
        <w:rPr/>
      </w:pPr>
      <w:bookmarkStart w:colFirst="0" w:colLast="0" w:name="_qsh70q" w:id="15"/>
      <w:bookmarkEnd w:id="15"/>
      <w:r w:rsidDel="00000000" w:rsidR="00000000" w:rsidRPr="00000000">
        <w:rPr>
          <w:rtl w:val="0"/>
        </w:rPr>
        <w:t xml:space="preserve">5 REQUISITI DI ORDINE GENERALE E ALTRE CAUSE DI ESCLUSIONE</w:t>
      </w:r>
    </w:p>
    <w:p w:rsidR="00000000" w:rsidDel="00000000" w:rsidP="00000000" w:rsidRDefault="00000000" w:rsidRPr="00000000" w14:paraId="0000014C">
      <w:pPr>
        <w:spacing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 concorrenti devono essere in possesso, a pena di esclusione, dei requisiti di ordine generale previsti dal Codice nonché degli ulteriori requisiti indicati nel presente articolo.</w:t>
      </w:r>
    </w:p>
    <w:p w:rsidR="00000000" w:rsidDel="00000000" w:rsidP="00000000" w:rsidRDefault="00000000" w:rsidRPr="00000000" w14:paraId="0000014D">
      <w:pPr>
        <w:spacing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stazione appaltante verifica il possesso dei requisiti di ordine generale accedendo al fascicolo virtuale dell’operatore economico (di seguito: FVOE).</w:t>
      </w:r>
    </w:p>
    <w:p w:rsidR="00000000" w:rsidDel="00000000" w:rsidP="00000000" w:rsidRDefault="00000000" w:rsidRPr="00000000" w14:paraId="0000014E">
      <w:pPr>
        <w:spacing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Le circostanze di cui all’articolo 94 del Codice sono cause di esclusione automatica. La sussistenza delle circostanze di cui all’articolo 95 del Codice è accertata previo contraddittorio con l’operatore economico.</w:t>
      </w:r>
    </w:p>
    <w:p w:rsidR="00000000" w:rsidDel="00000000" w:rsidP="00000000" w:rsidRDefault="00000000" w:rsidRPr="00000000" w14:paraId="0000014F">
      <w:pPr>
        <w:spacing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In caso di partecipazione di consorzi di cui all’articolo 65, comma 2, lettere b) e c) del Codice, i requisiti di cui al punto 5 sono posseduti dal consorzio e dalle consorziate indicate quali esecutrici.</w:t>
      </w:r>
    </w:p>
    <w:p w:rsidR="00000000" w:rsidDel="00000000" w:rsidP="00000000" w:rsidRDefault="00000000" w:rsidRPr="00000000" w14:paraId="00000150">
      <w:pPr>
        <w:spacing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In caso di partecipazione di consorzi stabili di cui all’articolo 65, comma 2, lett. d) del Codice, i requisiti di cui al punto 5 sono posseduti dal consorzio, dalle consorziate indicate quali esecutrici e dalle consorziate che prestano i requisiti.</w:t>
      </w:r>
    </w:p>
    <w:p w:rsidR="00000000" w:rsidDel="00000000" w:rsidP="00000000" w:rsidRDefault="00000000" w:rsidRPr="00000000" w14:paraId="00000151">
      <w:pPr>
        <w:spacing w:before="60" w:lineRule="auto"/>
        <w:rPr>
          <w:rFonts w:ascii="Titillium" w:cs="Titillium" w:eastAsia="Titillium" w:hAnsi="Titillium"/>
          <w:b w:val="1"/>
          <w:sz w:val="18"/>
          <w:szCs w:val="18"/>
        </w:rPr>
      </w:pPr>
      <w:r w:rsidDel="00000000" w:rsidR="00000000" w:rsidRPr="00000000">
        <w:rPr>
          <w:rFonts w:ascii="Titillium" w:cs="Titillium" w:eastAsia="Titillium" w:hAnsi="Titillium"/>
          <w:b w:val="1"/>
          <w:sz w:val="18"/>
          <w:szCs w:val="18"/>
          <w:rtl w:val="0"/>
        </w:rPr>
        <w:t xml:space="preserve">Self cleaning</w:t>
      </w:r>
    </w:p>
    <w:p w:rsidR="00000000" w:rsidDel="00000000" w:rsidP="00000000" w:rsidRDefault="00000000" w:rsidRPr="00000000" w14:paraId="00000152">
      <w:pPr>
        <w:spacing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Un operatore economico che si trovi in una delle situazioni di cui agli articoli 94 e 95 del Codice, ad eccezione delle irregolarità contributive e fiscali definitivamente e non definitivamente accertate, può fornire prova di aver adottato misure (c.d. self cleaning) sufficienti a dimostrare la sua affidabilità. </w:t>
      </w:r>
    </w:p>
    <w:p w:rsidR="00000000" w:rsidDel="00000000" w:rsidP="00000000" w:rsidRDefault="00000000" w:rsidRPr="00000000" w14:paraId="00000153">
      <w:pPr>
        <w:spacing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Se la causa di esclusione si è verificata prima della presentazione dell’offerta, l’operatore economico indica nel DGUE la causa ostativa e, alternativamente:</w:t>
      </w:r>
    </w:p>
    <w:p w:rsidR="00000000" w:rsidDel="00000000" w:rsidP="00000000" w:rsidRDefault="00000000" w:rsidRPr="00000000" w14:paraId="00000154">
      <w:pPr>
        <w:spacing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 descrive le misure adottate ai sensi dell’articolo 96, comma 6 del Codice;</w:t>
      </w:r>
    </w:p>
    <w:p w:rsidR="00000000" w:rsidDel="00000000" w:rsidP="00000000" w:rsidRDefault="00000000" w:rsidRPr="00000000" w14:paraId="00000155">
      <w:pPr>
        <w:spacing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 motiva l’impossibilità ad adottare dette misure e si impegna a provvedere successivamente. L’adozione delle misure è comunicata alla stazione appaltante. </w:t>
      </w:r>
    </w:p>
    <w:p w:rsidR="00000000" w:rsidDel="00000000" w:rsidP="00000000" w:rsidRDefault="00000000" w:rsidRPr="00000000" w14:paraId="00000156">
      <w:pPr>
        <w:spacing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Se la causa di esclusione si è verificata successivamente alla presentazione dell’offerta, l’operatore economico adotta le misure di cui al comma 6 dell’articolo 96 del Codice dandone comunicazione alla stazione appaltante.</w:t>
      </w:r>
    </w:p>
    <w:p w:rsidR="00000000" w:rsidDel="00000000" w:rsidP="00000000" w:rsidRDefault="00000000" w:rsidRPr="00000000" w14:paraId="00000157">
      <w:pPr>
        <w:spacing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Sono considerate misure sufficienti il risarcimento o l’impegno a risarcire qualunque danno causato dal reato o dall’illecito, la dimostrazione di aver chiarito i fatti e le circostanze in modo globale collaborando attivamente con le autorità investigative e di aver adottato provvedimenti concreti, di carattere tecnico, organizzativo o relativi al personale idonei a prevenire ulteriori reati o illeciti</w:t>
      </w:r>
    </w:p>
    <w:p w:rsidR="00000000" w:rsidDel="00000000" w:rsidP="00000000" w:rsidRDefault="00000000" w:rsidRPr="00000000" w14:paraId="00000158">
      <w:pPr>
        <w:spacing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Se le misure adottate sono ritenute sufficienti e tempestive, l’operatore economico non è escluso. Se dette misure sono ritenute insufficienti e intempestive, la stazione appaltante ne comunica le ragioni all’operatore economico. </w:t>
      </w:r>
    </w:p>
    <w:p w:rsidR="00000000" w:rsidDel="00000000" w:rsidP="00000000" w:rsidRDefault="00000000" w:rsidRPr="00000000" w14:paraId="00000159">
      <w:pPr>
        <w:spacing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Non può avvalersi del self-cleaning l’operatore economico escluso con sentenza definitiva dalla partecipazione alle procedure di affidamento o di concessione, nel corso del periodo di esclusione derivante da tale sentenza.</w:t>
      </w:r>
    </w:p>
    <w:p w:rsidR="00000000" w:rsidDel="00000000" w:rsidP="00000000" w:rsidRDefault="00000000" w:rsidRPr="00000000" w14:paraId="0000015A">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Nel caso in cui un raggruppamento/consorzio abbia estromesso o sostituito un partecipante/esecutore interessato da una clausola di esclusione di cui agli articoli 94 e 95 del Codice, si valutano le misure adottate ai sensi dell’articolo 97 del Codice al fine di decidere sull’esclusione. </w:t>
      </w:r>
    </w:p>
    <w:p w:rsidR="00000000" w:rsidDel="00000000" w:rsidP="00000000" w:rsidRDefault="00000000" w:rsidRPr="00000000" w14:paraId="0000015B">
      <w:pPr>
        <w:spacing w:before="60" w:lineRule="auto"/>
        <w:rPr>
          <w:rFonts w:ascii="Titillium" w:cs="Titillium" w:eastAsia="Titillium" w:hAnsi="Titillium"/>
          <w:b w:val="1"/>
          <w:sz w:val="18"/>
          <w:szCs w:val="18"/>
        </w:rPr>
      </w:pPr>
      <w:r w:rsidDel="00000000" w:rsidR="00000000" w:rsidRPr="00000000">
        <w:rPr>
          <w:rFonts w:ascii="Titillium" w:cs="Titillium" w:eastAsia="Titillium" w:hAnsi="Titillium"/>
          <w:b w:val="1"/>
          <w:sz w:val="18"/>
          <w:szCs w:val="18"/>
          <w:rtl w:val="0"/>
        </w:rPr>
        <w:t xml:space="preserve">Altre cause di esclusione</w:t>
      </w:r>
    </w:p>
    <w:p w:rsidR="00000000" w:rsidDel="00000000" w:rsidP="00000000" w:rsidRDefault="00000000" w:rsidRPr="00000000" w14:paraId="0000015C">
      <w:pPr>
        <w:spacing w:after="60" w:before="120" w:lineRule="auto"/>
        <w:rPr/>
      </w:pPr>
      <w:r w:rsidDel="00000000" w:rsidR="00000000" w:rsidRPr="00000000">
        <w:rPr>
          <w:rFonts w:ascii="Titillium" w:cs="Titillium" w:eastAsia="Titillium" w:hAnsi="Titillium"/>
          <w:sz w:val="18"/>
          <w:szCs w:val="18"/>
          <w:rtl w:val="0"/>
        </w:rPr>
        <w:t xml:space="preserve">Sono esclusi gli</w:t>
      </w:r>
      <w:r w:rsidDel="00000000" w:rsidR="00000000" w:rsidRPr="00000000">
        <w:rPr>
          <w:rFonts w:ascii="Titillium" w:cs="Titillium" w:eastAsia="Titillium" w:hAnsi="Titillium"/>
          <w:b w:val="1"/>
          <w:sz w:val="18"/>
          <w:szCs w:val="18"/>
          <w:rtl w:val="0"/>
        </w:rPr>
        <w:t xml:space="preserve"> </w:t>
      </w:r>
      <w:r w:rsidDel="00000000" w:rsidR="00000000" w:rsidRPr="00000000">
        <w:rPr>
          <w:rFonts w:ascii="Titillium" w:cs="Titillium" w:eastAsia="Titillium" w:hAnsi="Titillium"/>
          <w:sz w:val="18"/>
          <w:szCs w:val="18"/>
          <w:rtl w:val="0"/>
        </w:rPr>
        <w:t xml:space="preserve">operatori economici che abbiano affidato incarichi in violazione dell’articolo 53, comma 16-ter, del decreto legislativo del 2001 n. 165 a soggetti che hanno esercitato, in qualità di dipendenti, poteri autoritativi o negoziali presso l’amministrazione affidante negli ultimi tre anni. </w:t>
      </w:r>
      <w:r w:rsidDel="00000000" w:rsidR="00000000" w:rsidRPr="00000000">
        <w:rPr>
          <w:rtl w:val="0"/>
        </w:rPr>
      </w:r>
    </w:p>
    <w:p w:rsidR="00000000" w:rsidDel="00000000" w:rsidP="00000000" w:rsidRDefault="00000000" w:rsidRPr="00000000" w14:paraId="0000015D">
      <w:pPr>
        <w:spacing w:after="60" w:before="12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mancata accettazione delle clausole contenute nel </w:t>
      </w:r>
      <w:hyperlink r:id="rId16">
        <w:r w:rsidDel="00000000" w:rsidR="00000000" w:rsidRPr="00000000">
          <w:rPr>
            <w:rFonts w:ascii="Titillium" w:cs="Titillium" w:eastAsia="Titillium" w:hAnsi="Titillium"/>
            <w:color w:val="1155cc"/>
            <w:sz w:val="18"/>
            <w:szCs w:val="18"/>
            <w:u w:val="single"/>
            <w:rtl w:val="0"/>
          </w:rPr>
          <w:t xml:space="preserve">patto di integrità</w:t>
        </w:r>
      </w:hyperlink>
      <w:r w:rsidDel="00000000" w:rsidR="00000000" w:rsidRPr="00000000">
        <w:rPr>
          <w:rFonts w:ascii="Titillium" w:cs="Titillium" w:eastAsia="Titillium" w:hAnsi="Titillium"/>
          <w:sz w:val="18"/>
          <w:szCs w:val="18"/>
          <w:rtl w:val="0"/>
        </w:rPr>
        <w:t xml:space="preserve"> e il mancato rispetto dello stesso costituiscono causa di esclusione dalla gara, ai sensi dell’articolo 83-bis del decreto legislativo n. 159/2011. </w:t>
      </w:r>
    </w:p>
    <w:p w:rsidR="00000000" w:rsidDel="00000000" w:rsidP="00000000" w:rsidRDefault="00000000" w:rsidRPr="00000000" w14:paraId="0000015E">
      <w:pPr>
        <w:pStyle w:val="Heading1"/>
        <w:rPr/>
      </w:pPr>
      <w:bookmarkStart w:colFirst="0" w:colLast="0" w:name="_3as4poj" w:id="16"/>
      <w:bookmarkEnd w:id="16"/>
      <w:r w:rsidDel="00000000" w:rsidR="00000000" w:rsidRPr="00000000">
        <w:rPr>
          <w:rtl w:val="0"/>
        </w:rPr>
        <w:t xml:space="preserve">6 REQUISITI DI ORDINE SPECIALE E MEZZI DI PROVA</w:t>
      </w:r>
    </w:p>
    <w:p w:rsidR="00000000" w:rsidDel="00000000" w:rsidP="00000000" w:rsidRDefault="00000000" w:rsidRPr="00000000" w14:paraId="0000015F">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 concorrenti devono possedere, a pena di esclusione, i requisiti previsti nei commi seguenti. </w:t>
      </w:r>
    </w:p>
    <w:p w:rsidR="00000000" w:rsidDel="00000000" w:rsidP="00000000" w:rsidRDefault="00000000" w:rsidRPr="00000000" w14:paraId="00000160">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stazione appaltante verifica il possesso dei requisiti di ordine speciale accedendo al fascicolo virtuale dell’operatore economico (FVOE 2.0 ) </w:t>
      </w:r>
      <w:r w:rsidDel="00000000" w:rsidR="00000000" w:rsidRPr="00000000">
        <w:rPr>
          <w:rFonts w:ascii="Arial" w:cs="Arial" w:eastAsia="Arial" w:hAnsi="Arial"/>
          <w:color w:val="222222"/>
          <w:sz w:val="18"/>
          <w:szCs w:val="18"/>
          <w:rtl w:val="0"/>
        </w:rPr>
        <w:t xml:space="preserve">reso disponibile sul portale ANAC</w:t>
      </w:r>
      <w:r w:rsidDel="00000000" w:rsidR="00000000" w:rsidRPr="00000000">
        <w:rPr>
          <w:rFonts w:ascii="Arial" w:cs="Arial" w:eastAsia="Arial" w:hAnsi="Arial"/>
          <w:i w:val="1"/>
          <w:color w:val="222222"/>
          <w:sz w:val="20"/>
          <w:szCs w:val="20"/>
          <w:rtl w:val="0"/>
        </w:rPr>
        <w:t xml:space="preserve"> (</w:t>
      </w:r>
      <w:hyperlink r:id="rId17">
        <w:r w:rsidDel="00000000" w:rsidR="00000000" w:rsidRPr="00000000">
          <w:rPr>
            <w:rFonts w:ascii="Arial" w:cs="Arial" w:eastAsia="Arial" w:hAnsi="Arial"/>
            <w:i w:val="1"/>
            <w:color w:val="1155cc"/>
            <w:sz w:val="20"/>
            <w:szCs w:val="20"/>
            <w:u w:val="single"/>
            <w:rtl w:val="0"/>
          </w:rPr>
          <w:t xml:space="preserve">www.anticorruzione.it</w:t>
        </w:r>
      </w:hyperlink>
      <w:r w:rsidDel="00000000" w:rsidR="00000000" w:rsidRPr="00000000">
        <w:rPr>
          <w:rFonts w:ascii="Arial" w:cs="Arial" w:eastAsia="Arial" w:hAnsi="Arial"/>
          <w:i w:val="1"/>
          <w:color w:val="222222"/>
          <w:sz w:val="20"/>
          <w:szCs w:val="20"/>
          <w:rtl w:val="0"/>
        </w:rPr>
        <w:t xml:space="preserve">)</w:t>
      </w:r>
      <w:r w:rsidDel="00000000" w:rsidR="00000000" w:rsidRPr="00000000">
        <w:rPr>
          <w:rFonts w:ascii="Titillium" w:cs="Titillium" w:eastAsia="Titillium" w:hAnsi="Titillium"/>
          <w:sz w:val="18"/>
          <w:szCs w:val="18"/>
          <w:rtl w:val="0"/>
        </w:rPr>
        <w:t xml:space="preserve">. </w:t>
      </w:r>
    </w:p>
    <w:p w:rsidR="00000000" w:rsidDel="00000000" w:rsidP="00000000" w:rsidRDefault="00000000" w:rsidRPr="00000000" w14:paraId="00000161">
      <w:pPr>
        <w:spacing w:after="60" w:before="60" w:lineRule="auto"/>
        <w:rPr>
          <w:rFonts w:ascii="Titillium" w:cs="Titillium" w:eastAsia="Titillium" w:hAnsi="Titillium"/>
          <w:i w:val="1"/>
          <w:sz w:val="18"/>
          <w:szCs w:val="18"/>
        </w:rPr>
      </w:pPr>
      <w:r w:rsidDel="00000000" w:rsidR="00000000" w:rsidRPr="00000000">
        <w:rPr>
          <w:rFonts w:ascii="Titillium" w:cs="Titillium" w:eastAsia="Titillium" w:hAnsi="Titillium"/>
          <w:sz w:val="18"/>
          <w:szCs w:val="18"/>
          <w:rtl w:val="0"/>
        </w:rPr>
        <w:t xml:space="preserve">L’operatore economico è tenuto ad inserire nel FVOE i dati e le informazioni richiesti per la comprova del requisito, qualora questi non siano già presenti nel fascicolo o non siano già in possesso della stazione appaltante e non possano essere acquisiti d’ufficio da quest’ultima.</w:t>
      </w:r>
      <w:r w:rsidDel="00000000" w:rsidR="00000000" w:rsidRPr="00000000">
        <w:rPr>
          <w:rtl w:val="0"/>
        </w:rPr>
      </w:r>
    </w:p>
    <w:p w:rsidR="00000000" w:rsidDel="00000000" w:rsidP="00000000" w:rsidRDefault="00000000" w:rsidRPr="00000000" w14:paraId="00000162">
      <w:pPr>
        <w:shd w:fill="ffffff" w:val="clear"/>
        <w:rPr>
          <w:rFonts w:ascii="Arial" w:cs="Arial" w:eastAsia="Arial" w:hAnsi="Arial"/>
          <w:color w:val="222222"/>
          <w:sz w:val="18"/>
          <w:szCs w:val="18"/>
        </w:rPr>
      </w:pPr>
      <w:r w:rsidDel="00000000" w:rsidR="00000000" w:rsidRPr="00000000">
        <w:rPr>
          <w:rFonts w:ascii="Arial" w:cs="Arial" w:eastAsia="Arial" w:hAnsi="Arial"/>
          <w:color w:val="222222"/>
          <w:sz w:val="18"/>
          <w:szCs w:val="18"/>
          <w:rtl w:val="0"/>
        </w:rPr>
        <w:t xml:space="preserve">Pertanto, gli operatori economici che intendono partecipare alla presente procedura dovranno obbligatoriamente registrarsi nel sistema FVOE 2.0, accedendo all’apposito link sul relativo portale (Servizio ad accesso riservato – FVOE 2.0) secondo le istruzioni ivi contenute.</w:t>
      </w:r>
    </w:p>
    <w:p w:rsidR="00000000" w:rsidDel="00000000" w:rsidP="00000000" w:rsidRDefault="00000000" w:rsidRPr="00000000" w14:paraId="00000163">
      <w:pPr>
        <w:shd w:fill="ffffff" w:val="clear"/>
        <w:rPr>
          <w:rFonts w:ascii="Arial" w:cs="Arial" w:eastAsia="Arial" w:hAnsi="Arial"/>
          <w:color w:val="222222"/>
          <w:sz w:val="18"/>
          <w:szCs w:val="18"/>
        </w:rPr>
      </w:pPr>
      <w:r w:rsidDel="00000000" w:rsidR="00000000" w:rsidRPr="00000000">
        <w:rPr>
          <w:rFonts w:ascii="Arial" w:cs="Arial" w:eastAsia="Arial" w:hAnsi="Arial"/>
          <w:color w:val="222222"/>
          <w:sz w:val="18"/>
          <w:szCs w:val="18"/>
          <w:rtl w:val="0"/>
        </w:rPr>
        <w:t xml:space="preserve">Al fine di accedere al fascicolo ed avviare le verifiche di rito, l’Amministrazione procederà a richiedere all’operatore economico di autorizzare l’accesso.</w:t>
      </w:r>
    </w:p>
    <w:p w:rsidR="00000000" w:rsidDel="00000000" w:rsidP="00000000" w:rsidRDefault="00000000" w:rsidRPr="00000000" w14:paraId="00000164">
      <w:pPr>
        <w:shd w:fill="ffffff" w:val="clear"/>
        <w:rPr>
          <w:rFonts w:ascii="Arial" w:cs="Arial" w:eastAsia="Arial" w:hAnsi="Arial"/>
          <w:color w:val="222222"/>
          <w:sz w:val="18"/>
          <w:szCs w:val="18"/>
        </w:rPr>
      </w:pPr>
      <w:r w:rsidDel="00000000" w:rsidR="00000000" w:rsidRPr="00000000">
        <w:rPr>
          <w:rFonts w:ascii="Arial" w:cs="Arial" w:eastAsia="Arial" w:hAnsi="Arial"/>
          <w:color w:val="222222"/>
          <w:sz w:val="18"/>
          <w:szCs w:val="18"/>
          <w:rtl w:val="0"/>
        </w:rPr>
        <w:t xml:space="preserve">L’operatore economico, ricevuta la comunicazione dalla Stazione appaltante, dovrà tempestivamente entrare nel proprio profilo FVOE 2.0 con spid, cercare nella dashboard il fascicolo relativo al CIG che identifica la procedura ed autorizzare l’accesso al fascicolo stesso, di modo da consentire all’Amministrazione di procedere con l’estrazione dei documenti ivi presenti e con l’avvio delle ulteriori verifiche.</w:t>
      </w:r>
    </w:p>
    <w:p w:rsidR="00000000" w:rsidDel="00000000" w:rsidP="00000000" w:rsidRDefault="00000000" w:rsidRPr="00000000" w14:paraId="00000165">
      <w:pPr>
        <w:shd w:fill="ffffff" w:val="clear"/>
        <w:rPr>
          <w:rFonts w:ascii="Arial" w:cs="Arial" w:eastAsia="Arial" w:hAnsi="Arial"/>
          <w:i w:val="1"/>
          <w:color w:val="222222"/>
          <w:sz w:val="20"/>
          <w:szCs w:val="20"/>
        </w:rPr>
      </w:pPr>
      <w:r w:rsidDel="00000000" w:rsidR="00000000" w:rsidRPr="00000000">
        <w:rPr>
          <w:rFonts w:ascii="Arial" w:cs="Arial" w:eastAsia="Arial" w:hAnsi="Arial"/>
          <w:color w:val="222222"/>
          <w:sz w:val="18"/>
          <w:szCs w:val="18"/>
          <w:rtl w:val="0"/>
        </w:rPr>
        <w:t xml:space="preserve">Qualora, per motivi legati al funzionamento del sistema, non sia possibile procedere alla verifica dei requisiti mediante il sistema FVOE 2.0, l’Amministrazione si riserva di effettuare le verifiche fuori piattaforma</w:t>
      </w:r>
      <w:r w:rsidDel="00000000" w:rsidR="00000000" w:rsidRPr="00000000">
        <w:rPr>
          <w:rFonts w:ascii="Arial" w:cs="Arial" w:eastAsia="Arial" w:hAnsi="Arial"/>
          <w:i w:val="1"/>
          <w:color w:val="222222"/>
          <w:sz w:val="20"/>
          <w:szCs w:val="20"/>
          <w:rtl w:val="0"/>
        </w:rPr>
        <w:t xml:space="preserve">.</w:t>
      </w:r>
    </w:p>
    <w:p w:rsidR="00000000" w:rsidDel="00000000" w:rsidP="00000000" w:rsidRDefault="00000000" w:rsidRPr="00000000" w14:paraId="00000166">
      <w:pPr>
        <w:pStyle w:val="Heading2"/>
        <w:rPr/>
      </w:pPr>
      <w:bookmarkStart w:colFirst="0" w:colLast="0" w:name="_1pxezwc" w:id="17"/>
      <w:bookmarkEnd w:id="17"/>
      <w:r w:rsidDel="00000000" w:rsidR="00000000" w:rsidRPr="00000000">
        <w:rPr>
          <w:rtl w:val="0"/>
        </w:rPr>
        <w:t xml:space="preserve">6.1 REQUISITI DI IDONEITÀ PROFESSIONALE</w:t>
      </w:r>
    </w:p>
    <w:p w:rsidR="00000000" w:rsidDel="00000000" w:rsidP="00000000" w:rsidRDefault="00000000" w:rsidRPr="00000000" w14:paraId="00000167">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60" w:before="60" w:line="276" w:lineRule="auto"/>
        <w:ind w:left="284" w:right="0" w:hanging="284"/>
        <w:jc w:val="both"/>
        <w:rPr/>
      </w:pPr>
      <w:bookmarkStart w:colFirst="0" w:colLast="0" w:name="_49x2ik5" w:id="18"/>
      <w:bookmarkEnd w:id="18"/>
      <w:r w:rsidDel="00000000" w:rsidR="00000000" w:rsidRPr="00000000">
        <w:rPr>
          <w:rFonts w:ascii="Titillium" w:cs="Titillium" w:eastAsia="Titillium" w:hAnsi="Titillium"/>
          <w:b w:val="1"/>
          <w:i w:val="0"/>
          <w:smallCaps w:val="0"/>
          <w:strike w:val="0"/>
          <w:color w:val="000000"/>
          <w:sz w:val="18"/>
          <w:szCs w:val="18"/>
          <w:u w:val="none"/>
          <w:shd w:fill="auto" w:val="clear"/>
          <w:vertAlign w:val="baseline"/>
          <w:rtl w:val="0"/>
        </w:rPr>
        <w:t xml:space="preserve">Iscrizione</w:t>
      </w: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 nel Registro delle Imprese oppure nell’Albo delle Imprese artigiane per attività pertinenti con quelle oggetto della presente procedura di gara.</w:t>
      </w:r>
      <w:r w:rsidDel="00000000" w:rsidR="00000000" w:rsidRPr="00000000">
        <w:rPr>
          <w:rtl w:val="0"/>
        </w:rPr>
      </w:r>
    </w:p>
    <w:p w:rsidR="00000000" w:rsidDel="00000000" w:rsidP="00000000" w:rsidRDefault="00000000" w:rsidRPr="00000000" w14:paraId="00000168">
      <w:pPr>
        <w:spacing w:after="60" w:before="60" w:lineRule="auto"/>
        <w:ind w:left="284" w:firstLine="0"/>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Per l’operatore economico di altro Stato membro, non residente in Italia: iscrizione in uno dei registri professionali o commerciali degli altri Stati membri di cui all’allegato II.11 del Codice;</w:t>
      </w:r>
    </w:p>
    <w:p w:rsidR="00000000" w:rsidDel="00000000" w:rsidP="00000000" w:rsidRDefault="00000000" w:rsidRPr="00000000" w14:paraId="00000169">
      <w:pPr>
        <w:spacing w:after="60" w:before="60" w:lineRule="auto"/>
        <w:rPr>
          <w:rFonts w:ascii="Titillium" w:cs="Titillium" w:eastAsia="Titillium" w:hAnsi="Titillium"/>
          <w:b w:val="0"/>
          <w:i w:val="1"/>
          <w:smallCaps w:val="0"/>
          <w:strike w:val="0"/>
          <w:color w:val="000000"/>
          <w:sz w:val="18"/>
          <w:szCs w:val="18"/>
          <w:u w:val="none"/>
          <w:shd w:fill="auto" w:val="clear"/>
          <w:vertAlign w:val="baseline"/>
        </w:rPr>
      </w:pPr>
      <w:r w:rsidDel="00000000" w:rsidR="00000000" w:rsidRPr="00000000">
        <w:rPr>
          <w:rFonts w:ascii="Titillium" w:cs="Titillium" w:eastAsia="Titillium" w:hAnsi="Titillium"/>
          <w:sz w:val="18"/>
          <w:szCs w:val="18"/>
          <w:rtl w:val="0"/>
        </w:rPr>
        <w:t xml:space="preserve">Ai fini della comprova, l’iscrizione nel Registro è acquisita d’ufficio dalla stazione appaltante tramite il FVOE. Gli operatori stabiliti in altri Stati membri caricano nel fascicolo virtuale i dati e le informazioni utili alla comprova del requisito, se disponibili. </w:t>
      </w:r>
      <w:r w:rsidDel="00000000" w:rsidR="00000000" w:rsidRPr="00000000">
        <w:rPr>
          <w:rFonts w:ascii="Titillium" w:cs="Titillium" w:eastAsia="Titillium" w:hAnsi="Titillium"/>
          <w:b w:val="0"/>
          <w:i w:val="1"/>
          <w:smallCaps w:val="0"/>
          <w:strike w:val="0"/>
          <w:color w:val="000000"/>
          <w:sz w:val="18"/>
          <w:szCs w:val="18"/>
          <w:u w:val="none"/>
          <w:shd w:fill="auto" w:val="clear"/>
          <w:vertAlign w:val="baseline"/>
          <w:rtl w:val="0"/>
        </w:rPr>
        <w:t xml:space="preserve">.</w:t>
      </w:r>
    </w:p>
    <w:p w:rsidR="00000000" w:rsidDel="00000000" w:rsidP="00000000" w:rsidRDefault="00000000" w:rsidRPr="00000000" w14:paraId="0000016A">
      <w:pPr>
        <w:pStyle w:val="Heading2"/>
        <w:rPr/>
      </w:pPr>
      <w:bookmarkStart w:colFirst="0" w:colLast="0" w:name="_147n2zr" w:id="19"/>
      <w:bookmarkEnd w:id="19"/>
      <w:r w:rsidDel="00000000" w:rsidR="00000000" w:rsidRPr="00000000">
        <w:rPr>
          <w:rtl w:val="0"/>
        </w:rPr>
        <w:t xml:space="preserve">6.2 REQUISITI DI CAPACITÀ ECONOMICA E FINANZIARIA </w:t>
      </w:r>
    </w:p>
    <w:p w:rsidR="00000000" w:rsidDel="00000000" w:rsidP="00000000" w:rsidRDefault="00000000" w:rsidRPr="00000000" w14:paraId="0000016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both"/>
        <w:rPr>
          <w:rFonts w:ascii="Titillium" w:cs="Titillium" w:eastAsia="Titillium" w:hAnsi="Titillium"/>
          <w:smallCaps w:val="0"/>
          <w:strike w:val="0"/>
          <w:color w:val="000000"/>
          <w:sz w:val="18"/>
          <w:szCs w:val="18"/>
          <w:u w:val="none"/>
          <w:shd w:fill="auto" w:val="clear"/>
          <w:vertAlign w:val="baseline"/>
        </w:rPr>
      </w:pPr>
      <w:r w:rsidDel="00000000" w:rsidR="00000000" w:rsidRPr="00000000">
        <w:rPr>
          <w:rFonts w:ascii="Titillium" w:cs="Titillium" w:eastAsia="Titillium" w:hAnsi="Titillium"/>
          <w:sz w:val="18"/>
          <w:szCs w:val="18"/>
          <w:rtl w:val="0"/>
        </w:rPr>
        <w:t xml:space="preserve">Non sono previsti requisiti di capacità economica.</w:t>
      </w:r>
      <w:r w:rsidDel="00000000" w:rsidR="00000000" w:rsidRPr="00000000">
        <w:rPr>
          <w:rtl w:val="0"/>
        </w:rPr>
      </w:r>
    </w:p>
    <w:p w:rsidR="00000000" w:rsidDel="00000000" w:rsidP="00000000" w:rsidRDefault="00000000" w:rsidRPr="00000000" w14:paraId="0000016C">
      <w:pPr>
        <w:pStyle w:val="Heading2"/>
        <w:rPr/>
      </w:pPr>
      <w:bookmarkStart w:colFirst="0" w:colLast="0" w:name="_ihv636" w:id="20"/>
      <w:bookmarkEnd w:id="20"/>
      <w:r w:rsidDel="00000000" w:rsidR="00000000" w:rsidRPr="00000000">
        <w:rPr>
          <w:rtl w:val="0"/>
        </w:rPr>
        <w:t xml:space="preserve">6.3 </w:t>
      </w:r>
      <w:r w:rsidDel="00000000" w:rsidR="00000000" w:rsidRPr="00000000">
        <w:rPr>
          <w:rtl w:val="0"/>
        </w:rPr>
        <w:t xml:space="preserve">REQUISITI DI CAPACITÀ TECNICA E PROFESSIONALE</w:t>
      </w:r>
    </w:p>
    <w:p w:rsidR="00000000" w:rsidDel="00000000" w:rsidP="00000000" w:rsidRDefault="00000000" w:rsidRPr="00000000" w14:paraId="0000016D">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60" w:before="60" w:line="276" w:lineRule="auto"/>
        <w:ind w:left="284" w:right="0" w:hanging="284"/>
        <w:jc w:val="both"/>
        <w:rPr/>
      </w:pPr>
      <w:bookmarkStart w:colFirst="0" w:colLast="0" w:name="_32hioqz" w:id="21"/>
      <w:bookmarkEnd w:id="21"/>
      <w:r w:rsidDel="00000000" w:rsidR="00000000" w:rsidRPr="00000000">
        <w:rPr>
          <w:rFonts w:ascii="Titillium" w:cs="Titillium" w:eastAsia="Titillium" w:hAnsi="Titillium"/>
          <w:b w:val="1"/>
          <w:i w:val="0"/>
          <w:smallCaps w:val="0"/>
          <w:strike w:val="0"/>
          <w:color w:val="000000"/>
          <w:sz w:val="18"/>
          <w:szCs w:val="18"/>
          <w:u w:val="none"/>
          <w:shd w:fill="auto" w:val="clear"/>
          <w:vertAlign w:val="baseline"/>
          <w:rtl w:val="0"/>
        </w:rPr>
        <w:t xml:space="preserve">Esecuzione negli ultimi </w:t>
      </w:r>
      <w:r w:rsidDel="00000000" w:rsidR="00000000" w:rsidRPr="00000000">
        <w:rPr>
          <w:rFonts w:ascii="Titillium" w:cs="Titillium" w:eastAsia="Titillium" w:hAnsi="Titillium"/>
          <w:b w:val="1"/>
          <w:sz w:val="18"/>
          <w:szCs w:val="18"/>
          <w:rtl w:val="0"/>
        </w:rPr>
        <w:t xml:space="preserve">tre</w:t>
      </w:r>
      <w:r w:rsidDel="00000000" w:rsidR="00000000" w:rsidRPr="00000000">
        <w:rPr>
          <w:rFonts w:ascii="Titillium" w:cs="Titillium" w:eastAsia="Titillium" w:hAnsi="Titillium"/>
          <w:b w:val="1"/>
          <w:i w:val="0"/>
          <w:smallCaps w:val="0"/>
          <w:strike w:val="0"/>
          <w:color w:val="000000"/>
          <w:sz w:val="18"/>
          <w:szCs w:val="18"/>
          <w:u w:val="none"/>
          <w:shd w:fill="auto" w:val="clear"/>
          <w:vertAlign w:val="baseline"/>
          <w:rtl w:val="0"/>
        </w:rPr>
        <w:t xml:space="preserve"> anni di almeno </w:t>
      </w:r>
      <w:r w:rsidDel="00000000" w:rsidR="00000000" w:rsidRPr="00000000">
        <w:rPr>
          <w:rFonts w:ascii="Arial" w:cs="Arial" w:eastAsia="Arial" w:hAnsi="Arial"/>
          <w:sz w:val="18"/>
          <w:szCs w:val="18"/>
          <w:rtl w:val="0"/>
        </w:rPr>
        <w:t xml:space="preserve">uno o più contratti per servizi analoghi a quelli oggetto di affidamento nei confronti di committenti pubblici o privati di importo contrattuale per un importo pari almeno il 80% dell’importo a base di gara per ogni lotto per cui si partecipa e precisamente</w:t>
      </w:r>
      <w:r w:rsidDel="00000000" w:rsidR="00000000" w:rsidRPr="00000000">
        <w:rPr>
          <w:rFonts w:ascii="Arial Narrow" w:cs="Arial Narrow" w:eastAsia="Arial Narrow" w:hAnsi="Arial Narrow"/>
          <w:sz w:val="22"/>
          <w:szCs w:val="22"/>
          <w:rtl w:val="0"/>
        </w:rPr>
        <w:t xml:space="preserve">:</w:t>
      </w:r>
    </w:p>
    <w:p w:rsidR="00000000" w:rsidDel="00000000" w:rsidP="00000000" w:rsidRDefault="00000000" w:rsidRPr="00000000" w14:paraId="0000016E">
      <w:pPr>
        <w:widowControl w:val="0"/>
        <w:shd w:fill="ffffff" w:val="clear"/>
        <w:rPr>
          <w:rFonts w:ascii="Arial Narrow" w:cs="Arial Narrow" w:eastAsia="Arial Narrow" w:hAnsi="Arial Narrow"/>
          <w:sz w:val="22"/>
          <w:szCs w:val="22"/>
        </w:rPr>
      </w:pPr>
      <w:r w:rsidDel="00000000" w:rsidR="00000000" w:rsidRPr="00000000">
        <w:rPr>
          <w:rtl w:val="0"/>
        </w:rPr>
      </w:r>
    </w:p>
    <w:tbl>
      <w:tblPr>
        <w:tblStyle w:val="Table10"/>
        <w:tblW w:w="918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26.0000000000001"/>
        <w:gridCol w:w="4224"/>
        <w:gridCol w:w="4230"/>
        <w:tblGridChange w:id="0">
          <w:tblGrid>
            <w:gridCol w:w="726.0000000000001"/>
            <w:gridCol w:w="4224"/>
            <w:gridCol w:w="423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F">
            <w:pPr>
              <w:widowControl w:val="0"/>
              <w:spacing w:lin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Lotto  </w:t>
            </w:r>
          </w:p>
        </w:tc>
        <w:tc>
          <w:tcPr>
            <w:shd w:fill="auto" w:val="clear"/>
            <w:tcMar>
              <w:top w:w="100.0" w:type="dxa"/>
              <w:left w:w="100.0" w:type="dxa"/>
              <w:bottom w:w="100.0" w:type="dxa"/>
              <w:right w:w="100.0" w:type="dxa"/>
            </w:tcMar>
            <w:vAlign w:val="top"/>
          </w:tcPr>
          <w:p w:rsidR="00000000" w:rsidDel="00000000" w:rsidP="00000000" w:rsidRDefault="00000000" w:rsidRPr="00000000" w14:paraId="00000170">
            <w:pPr>
              <w:widowControl w:val="0"/>
              <w:spacing w:lin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Importo a base di gara </w:t>
            </w:r>
          </w:p>
        </w:tc>
        <w:tc>
          <w:tcPr>
            <w:shd w:fill="auto" w:val="clear"/>
            <w:tcMar>
              <w:top w:w="100.0" w:type="dxa"/>
              <w:left w:w="100.0" w:type="dxa"/>
              <w:bottom w:w="100.0" w:type="dxa"/>
              <w:right w:w="100.0" w:type="dxa"/>
            </w:tcMar>
            <w:vAlign w:val="top"/>
          </w:tcPr>
          <w:p w:rsidR="00000000" w:rsidDel="00000000" w:rsidP="00000000" w:rsidRDefault="00000000" w:rsidRPr="00000000" w14:paraId="00000171">
            <w:pPr>
              <w:widowControl w:val="0"/>
              <w:spacing w:lin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Importo minimo contratti analoghi</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2">
            <w:pPr>
              <w:widowControl w:val="0"/>
              <w:spacing w:lin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w:t>
            </w:r>
          </w:p>
        </w:tc>
        <w:tc>
          <w:tcPr/>
          <w:p w:rsidR="00000000" w:rsidDel="00000000" w:rsidP="00000000" w:rsidRDefault="00000000" w:rsidRPr="00000000" w14:paraId="00000173">
            <w:pPr>
              <w:widowControl w:val="0"/>
              <w:spacing w:lin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€ 129.000,00</w:t>
            </w:r>
          </w:p>
        </w:tc>
        <w:tc>
          <w:tcPr/>
          <w:p w:rsidR="00000000" w:rsidDel="00000000" w:rsidP="00000000" w:rsidRDefault="00000000" w:rsidRPr="00000000" w14:paraId="00000174">
            <w:pPr>
              <w:widowControl w:val="0"/>
              <w:spacing w:lin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€ 103.200,00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5">
            <w:pPr>
              <w:widowControl w:val="0"/>
              <w:spacing w:lin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2</w:t>
            </w:r>
          </w:p>
        </w:tc>
        <w:tc>
          <w:tcPr/>
          <w:p w:rsidR="00000000" w:rsidDel="00000000" w:rsidP="00000000" w:rsidRDefault="00000000" w:rsidRPr="00000000" w14:paraId="00000176">
            <w:pPr>
              <w:widowControl w:val="0"/>
              <w:spacing w:lin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€ 95.000,00</w:t>
            </w:r>
          </w:p>
        </w:tc>
        <w:tc>
          <w:tcPr/>
          <w:p w:rsidR="00000000" w:rsidDel="00000000" w:rsidP="00000000" w:rsidRDefault="00000000" w:rsidRPr="00000000" w14:paraId="00000177">
            <w:pPr>
              <w:widowControl w:val="0"/>
              <w:spacing w:lin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€ 76.000,00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8">
            <w:pPr>
              <w:widowControl w:val="0"/>
              <w:spacing w:lin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3</w:t>
            </w:r>
          </w:p>
        </w:tc>
        <w:tc>
          <w:tcPr/>
          <w:p w:rsidR="00000000" w:rsidDel="00000000" w:rsidP="00000000" w:rsidRDefault="00000000" w:rsidRPr="00000000" w14:paraId="00000179">
            <w:pPr>
              <w:widowControl w:val="0"/>
              <w:spacing w:lin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€ 160.500,00 </w:t>
            </w:r>
          </w:p>
        </w:tc>
        <w:tc>
          <w:tcPr/>
          <w:p w:rsidR="00000000" w:rsidDel="00000000" w:rsidP="00000000" w:rsidRDefault="00000000" w:rsidRPr="00000000" w14:paraId="0000017A">
            <w:pPr>
              <w:widowControl w:val="0"/>
              <w:spacing w:lin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€ 128.400,00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B">
            <w:pPr>
              <w:widowControl w:val="0"/>
              <w:spacing w:lin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4</w:t>
            </w:r>
          </w:p>
        </w:tc>
        <w:tc>
          <w:tcPr/>
          <w:p w:rsidR="00000000" w:rsidDel="00000000" w:rsidP="00000000" w:rsidRDefault="00000000" w:rsidRPr="00000000" w14:paraId="0000017C">
            <w:pPr>
              <w:widowControl w:val="0"/>
              <w:spacing w:after="12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€ 162.000,00</w:t>
            </w:r>
          </w:p>
        </w:tc>
        <w:tc>
          <w:tcPr/>
          <w:p w:rsidR="00000000" w:rsidDel="00000000" w:rsidP="00000000" w:rsidRDefault="00000000" w:rsidRPr="00000000" w14:paraId="0000017D">
            <w:pPr>
              <w:widowControl w:val="0"/>
              <w:spacing w:lin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€ 129.600,00</w:t>
            </w:r>
          </w:p>
        </w:tc>
      </w:tr>
    </w:tbl>
    <w:p w:rsidR="00000000" w:rsidDel="00000000" w:rsidP="00000000" w:rsidRDefault="00000000" w:rsidRPr="00000000" w14:paraId="0000017E">
      <w:pPr>
        <w:widowControl w:val="0"/>
        <w:shd w:fill="ffffff" w:val="clear"/>
        <w:rPr>
          <w:rFonts w:ascii="Titillium" w:cs="Titillium" w:eastAsia="Titillium" w:hAnsi="Titillium"/>
          <w:b w:val="1"/>
          <w:sz w:val="18"/>
          <w:szCs w:val="18"/>
        </w:rPr>
      </w:pPr>
      <w:r w:rsidDel="00000000" w:rsidR="00000000" w:rsidRPr="00000000">
        <w:rPr>
          <w:rtl w:val="0"/>
        </w:rPr>
      </w:r>
    </w:p>
    <w:p w:rsidR="00000000" w:rsidDel="00000000" w:rsidP="00000000" w:rsidRDefault="00000000" w:rsidRPr="00000000" w14:paraId="0000017F">
      <w:pPr>
        <w:spacing w:after="60" w:before="60" w:lineRule="auto"/>
        <w:rPr/>
      </w:pPr>
      <w:r w:rsidDel="00000000" w:rsidR="00000000" w:rsidRPr="00000000">
        <w:rPr>
          <w:rFonts w:ascii="Titillium" w:cs="Titillium" w:eastAsia="Titillium" w:hAnsi="Titillium"/>
          <w:sz w:val="18"/>
          <w:szCs w:val="18"/>
          <w:rtl w:val="0"/>
        </w:rPr>
        <w:t xml:space="preserve">La comprova del requisito è fornita mediante uno o più dei seguenti documenti:</w:t>
      </w:r>
      <w:r w:rsidDel="00000000" w:rsidR="00000000" w:rsidRPr="00000000">
        <w:rPr>
          <w:rtl w:val="0"/>
        </w:rPr>
      </w:r>
    </w:p>
    <w:p w:rsidR="00000000" w:rsidDel="00000000" w:rsidP="00000000" w:rsidRDefault="00000000" w:rsidRPr="00000000" w14:paraId="00000180">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tabs>
          <w:tab w:val="left" w:leader="none" w:pos="426"/>
        </w:tabs>
        <w:spacing w:after="60" w:before="60" w:line="276" w:lineRule="auto"/>
        <w:ind w:left="426"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certificati rilasciati dall’amministrazione/ente contraente, con l’indicazione dell’oggetto, dell’importo e del periodo di esecuzione;</w:t>
      </w:r>
    </w:p>
    <w:p w:rsidR="00000000" w:rsidDel="00000000" w:rsidP="00000000" w:rsidRDefault="00000000" w:rsidRPr="00000000" w14:paraId="00000181">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tabs>
          <w:tab w:val="left" w:leader="none" w:pos="426"/>
        </w:tabs>
        <w:spacing w:after="60" w:before="60" w:line="276" w:lineRule="auto"/>
        <w:ind w:left="426"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contratti stipulati con le amministrazioni pubbliche, completi di copia delle fatture quietanzate ovvero dei documenti bancari attestanti il pagamento delle stesse;</w:t>
      </w:r>
    </w:p>
    <w:p w:rsidR="00000000" w:rsidDel="00000000" w:rsidP="00000000" w:rsidRDefault="00000000" w:rsidRPr="00000000" w14:paraId="00000182">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tabs>
          <w:tab w:val="left" w:leader="none" w:pos="426"/>
        </w:tabs>
        <w:spacing w:after="60" w:before="60" w:line="276" w:lineRule="auto"/>
        <w:ind w:left="426"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attestazioni rilasciate dal committente privato, con l’indicazione dell’oggetto, dell’importo e del periodo di esecuzione;</w:t>
      </w:r>
    </w:p>
    <w:p w:rsidR="00000000" w:rsidDel="00000000" w:rsidP="00000000" w:rsidRDefault="00000000" w:rsidRPr="00000000" w14:paraId="00000183">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tabs>
          <w:tab w:val="left" w:leader="none" w:pos="426"/>
        </w:tabs>
        <w:spacing w:after="60" w:before="60" w:line="276" w:lineRule="auto"/>
        <w:ind w:left="426"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contratti stipulati con privati, completi di copia delle fatture quietanzate ovvero dei documenti bancari attestanti il pagamento delle stesse.</w:t>
      </w:r>
    </w:p>
    <w:p w:rsidR="00000000" w:rsidDel="00000000" w:rsidP="00000000" w:rsidRDefault="00000000" w:rsidRPr="00000000" w14:paraId="00000184">
      <w:pPr>
        <w:pStyle w:val="Heading2"/>
        <w:rPr/>
      </w:pPr>
      <w:bookmarkStart w:colFirst="0" w:colLast="0" w:name="_1hmsyys" w:id="22"/>
      <w:bookmarkEnd w:id="22"/>
      <w:r w:rsidDel="00000000" w:rsidR="00000000" w:rsidRPr="00000000">
        <w:rPr>
          <w:rtl w:val="0"/>
        </w:rPr>
        <w:t xml:space="preserve">6.4 </w:t>
      </w:r>
      <w:r w:rsidDel="00000000" w:rsidR="00000000" w:rsidRPr="00000000">
        <w:rPr>
          <w:rtl w:val="0"/>
        </w:rPr>
        <w:t xml:space="preserve">INDICAZIONI SUI REQUISITI SPECIALI NEI RAGGRUPPAMENTI TEMPORANEI, CONSORZI ORDINARI, AGGREGAZIONI DI IMPRESE DI RETE, GEIE</w:t>
      </w:r>
    </w:p>
    <w:p w:rsidR="00000000" w:rsidDel="00000000" w:rsidP="00000000" w:rsidRDefault="00000000" w:rsidRPr="00000000" w14:paraId="00000185">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 soggetti di cui all’articolo 65, comma 2, lettera e), f) g) e h) del Codice devono possedere i requisiti di ordine speciale nei termini di seguito indicati. </w:t>
      </w:r>
    </w:p>
    <w:p w:rsidR="00000000" w:rsidDel="00000000" w:rsidP="00000000" w:rsidRDefault="00000000" w:rsidRPr="00000000" w14:paraId="00000186">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Alle aggregazioni di retisti, ai consorzi ordinari ed ai GEIE si applica la disciplina prevista per i raggruppamenti temporanei. </w:t>
      </w:r>
    </w:p>
    <w:p w:rsidR="00000000" w:rsidDel="00000000" w:rsidP="00000000" w:rsidRDefault="00000000" w:rsidRPr="00000000" w14:paraId="00000187">
      <w:pPr>
        <w:spacing w:after="60" w:before="60" w:lineRule="auto"/>
        <w:rPr>
          <w:rFonts w:ascii="Titillium" w:cs="Titillium" w:eastAsia="Titillium" w:hAnsi="Titillium"/>
          <w:b w:val="1"/>
          <w:sz w:val="18"/>
          <w:szCs w:val="18"/>
        </w:rPr>
      </w:pPr>
      <w:r w:rsidDel="00000000" w:rsidR="00000000" w:rsidRPr="00000000">
        <w:rPr>
          <w:rtl w:val="0"/>
        </w:rPr>
      </w:r>
    </w:p>
    <w:p w:rsidR="00000000" w:rsidDel="00000000" w:rsidP="00000000" w:rsidRDefault="00000000" w:rsidRPr="00000000" w14:paraId="00000188">
      <w:pPr>
        <w:spacing w:after="60" w:before="60" w:lineRule="auto"/>
        <w:rPr>
          <w:rFonts w:ascii="Titillium" w:cs="Titillium" w:eastAsia="Titillium" w:hAnsi="Titillium"/>
          <w:b w:val="1"/>
          <w:sz w:val="18"/>
          <w:szCs w:val="18"/>
        </w:rPr>
      </w:pPr>
      <w:r w:rsidDel="00000000" w:rsidR="00000000" w:rsidRPr="00000000">
        <w:rPr>
          <w:rFonts w:ascii="Titillium" w:cs="Titillium" w:eastAsia="Titillium" w:hAnsi="Titillium"/>
          <w:b w:val="1"/>
          <w:sz w:val="18"/>
          <w:szCs w:val="18"/>
          <w:rtl w:val="0"/>
        </w:rPr>
        <w:t xml:space="preserve">Requisiti di idoneità professionale</w:t>
      </w:r>
    </w:p>
    <w:p w:rsidR="00000000" w:rsidDel="00000000" w:rsidP="00000000" w:rsidRDefault="00000000" w:rsidRPr="00000000" w14:paraId="00000189">
      <w:pPr>
        <w:keepNext w:val="0"/>
        <w:keepLines w:val="0"/>
        <w:pageBreakBefore w:val="0"/>
        <w:widowControl w:val="1"/>
        <w:numPr>
          <w:ilvl w:val="2"/>
          <w:numId w:val="15"/>
        </w:numPr>
        <w:pBdr>
          <w:top w:space="0" w:sz="0" w:val="nil"/>
          <w:left w:space="0" w:sz="0" w:val="nil"/>
          <w:bottom w:space="0" w:sz="0" w:val="nil"/>
          <w:right w:space="0" w:sz="0" w:val="nil"/>
          <w:between w:space="0" w:sz="0" w:val="nil"/>
        </w:pBdr>
        <w:shd w:fill="auto" w:val="clear"/>
        <w:spacing w:after="60" w:before="60" w:line="276" w:lineRule="auto"/>
        <w:ind w:left="360" w:right="0" w:hanging="360"/>
        <w:jc w:val="both"/>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Il requisito relativo all’iscrizione nel Registro delle Imprese oppure nell’Albo delle Imprese artigiane di cui di cui al punto 6.1 deve essere posseduto:</w:t>
      </w:r>
      <w:r w:rsidDel="00000000" w:rsidR="00000000" w:rsidRPr="00000000">
        <w:rPr>
          <w:rtl w:val="0"/>
        </w:rPr>
      </w:r>
    </w:p>
    <w:p w:rsidR="00000000" w:rsidDel="00000000" w:rsidP="00000000" w:rsidRDefault="00000000" w:rsidRPr="00000000" w14:paraId="0000018A">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60" w:before="60" w:line="276" w:lineRule="auto"/>
        <w:ind w:left="709" w:right="0" w:hanging="360"/>
        <w:jc w:val="both"/>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da ciascun componente del raggruppamento/consorzio/GEIE anche da costituire, nonché dal GEIE medesimo;</w:t>
      </w:r>
      <w:r w:rsidDel="00000000" w:rsidR="00000000" w:rsidRPr="00000000">
        <w:rPr>
          <w:rtl w:val="0"/>
        </w:rPr>
      </w:r>
    </w:p>
    <w:p w:rsidR="00000000" w:rsidDel="00000000" w:rsidP="00000000" w:rsidRDefault="00000000" w:rsidRPr="00000000" w14:paraId="0000018B">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60" w:before="60" w:line="276" w:lineRule="auto"/>
        <w:ind w:left="709"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da ciascun componente dell’aggregazione di rete nonché dall’organo comune nel caso in cui questi abbia soggettività giuridica. </w:t>
      </w:r>
      <w:r w:rsidDel="00000000" w:rsidR="00000000" w:rsidRPr="00000000">
        <w:rPr>
          <w:rFonts w:ascii="Titillium" w:cs="Titillium" w:eastAsia="Titillium" w:hAnsi="Titillium"/>
          <w:b w:val="0"/>
          <w:i w:val="1"/>
          <w:smallCaps w:val="0"/>
          <w:strike w:val="0"/>
          <w:color w:val="000000"/>
          <w:sz w:val="18"/>
          <w:szCs w:val="18"/>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18C">
      <w:pPr>
        <w:spacing w:after="60" w:before="60" w:lineRule="auto"/>
        <w:rPr>
          <w:rFonts w:ascii="Titillium" w:cs="Titillium" w:eastAsia="Titillium" w:hAnsi="Titillium"/>
          <w:b w:val="1"/>
          <w:sz w:val="18"/>
          <w:szCs w:val="18"/>
        </w:rPr>
      </w:pPr>
      <w:r w:rsidDel="00000000" w:rsidR="00000000" w:rsidRPr="00000000">
        <w:rPr>
          <w:rFonts w:ascii="Titillium" w:cs="Titillium" w:eastAsia="Titillium" w:hAnsi="Titillium"/>
          <w:b w:val="1"/>
          <w:sz w:val="18"/>
          <w:szCs w:val="18"/>
          <w:rtl w:val="0"/>
        </w:rPr>
        <w:t xml:space="preserve">Requisiti di capacità tecnico-professionale</w:t>
      </w:r>
    </w:p>
    <w:p w:rsidR="00000000" w:rsidDel="00000000" w:rsidP="00000000" w:rsidRDefault="00000000" w:rsidRPr="00000000" w14:paraId="0000018D">
      <w:pPr>
        <w:keepNext w:val="0"/>
        <w:keepLines w:val="0"/>
        <w:pageBreakBefore w:val="0"/>
        <w:widowControl w:val="1"/>
        <w:numPr>
          <w:ilvl w:val="2"/>
          <w:numId w:val="1"/>
        </w:numPr>
        <w:pBdr>
          <w:top w:space="0" w:sz="0" w:val="nil"/>
          <w:left w:space="0" w:sz="0" w:val="nil"/>
          <w:bottom w:space="0" w:sz="0" w:val="nil"/>
          <w:right w:space="0" w:sz="0" w:val="nil"/>
          <w:between w:space="0" w:sz="0" w:val="nil"/>
        </w:pBdr>
        <w:shd w:fill="auto" w:val="clear"/>
        <w:spacing w:after="60" w:before="60" w:line="276" w:lineRule="auto"/>
        <w:ind w:left="284" w:right="0" w:hanging="284"/>
        <w:jc w:val="both"/>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Il requisito dei servizi analoghi di cui al precedente punto 6.3 richiesto in relazione alla prestazione </w:t>
      </w:r>
      <w:r w:rsidDel="00000000" w:rsidR="00000000" w:rsidRPr="00000000">
        <w:rPr>
          <w:rFonts w:ascii="Titillium" w:cs="Titillium" w:eastAsia="Titillium" w:hAnsi="Titillium"/>
          <w:sz w:val="18"/>
          <w:szCs w:val="18"/>
          <w:rtl w:val="0"/>
        </w:rPr>
        <w:t xml:space="preserve">principale </w:t>
      </w: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deve essere posseduto dal raggruppamento nel complesso.</w:t>
      </w:r>
      <w:r w:rsidDel="00000000" w:rsidR="00000000" w:rsidRPr="00000000">
        <w:rPr>
          <w:rtl w:val="0"/>
        </w:rPr>
      </w:r>
    </w:p>
    <w:p w:rsidR="00000000" w:rsidDel="00000000" w:rsidP="00000000" w:rsidRDefault="00000000" w:rsidRPr="00000000" w14:paraId="0000018E">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Nel caso in cui un raggruppamento abbia estromesso o sostituito un partecipante allo stesso poiché privo di un requisito di ordine speciale di cui all’articolo 100 del Codice, si valutano le misure adottate ai sensi dell’articolo 97 del Codice al fine di decidere sull’esclusione del raggruppamento. </w:t>
      </w:r>
    </w:p>
    <w:p w:rsidR="00000000" w:rsidDel="00000000" w:rsidP="00000000" w:rsidRDefault="00000000" w:rsidRPr="00000000" w14:paraId="0000018F">
      <w:pPr>
        <w:spacing w:after="60" w:before="60" w:lineRule="auto"/>
        <w:rPr>
          <w:rFonts w:ascii="Titillium" w:cs="Titillium" w:eastAsia="Titillium" w:hAnsi="Titillium"/>
          <w:sz w:val="18"/>
          <w:szCs w:val="18"/>
        </w:rPr>
      </w:pPr>
      <w:r w:rsidDel="00000000" w:rsidR="00000000" w:rsidRPr="00000000">
        <w:rPr>
          <w:rtl w:val="0"/>
        </w:rPr>
      </w:r>
    </w:p>
    <w:p w:rsidR="00000000" w:rsidDel="00000000" w:rsidP="00000000" w:rsidRDefault="00000000" w:rsidRPr="00000000" w14:paraId="00000190">
      <w:pPr>
        <w:pStyle w:val="Heading2"/>
        <w:rPr/>
      </w:pPr>
      <w:bookmarkStart w:colFirst="0" w:colLast="0" w:name="_41mghml" w:id="23"/>
      <w:bookmarkEnd w:id="23"/>
      <w:r w:rsidDel="00000000" w:rsidR="00000000" w:rsidRPr="00000000">
        <w:rPr>
          <w:rtl w:val="0"/>
        </w:rPr>
        <w:t xml:space="preserve">6.5 INDICAZIONI SUI REQUISITI SPECIALI NEI CONSORZI DI COOPERATIVE, CONSORZI DI IMPRESE ARTIGIANE, CONSORZI STABILI </w:t>
      </w:r>
    </w:p>
    <w:p w:rsidR="00000000" w:rsidDel="00000000" w:rsidP="00000000" w:rsidRDefault="00000000" w:rsidRPr="00000000" w14:paraId="00000191">
      <w:pPr>
        <w:spacing w:after="60" w:before="60" w:lineRule="auto"/>
        <w:rPr>
          <w:rFonts w:ascii="Titillium" w:cs="Titillium" w:eastAsia="Titillium" w:hAnsi="Titillium"/>
          <w:b w:val="1"/>
          <w:sz w:val="18"/>
          <w:szCs w:val="18"/>
        </w:rPr>
      </w:pPr>
      <w:r w:rsidDel="00000000" w:rsidR="00000000" w:rsidRPr="00000000">
        <w:rPr>
          <w:rFonts w:ascii="Titillium" w:cs="Titillium" w:eastAsia="Titillium" w:hAnsi="Titillium"/>
          <w:b w:val="1"/>
          <w:sz w:val="18"/>
          <w:szCs w:val="18"/>
          <w:rtl w:val="0"/>
        </w:rPr>
        <w:t xml:space="preserve">Requisiti di idoneità professionale</w:t>
      </w:r>
    </w:p>
    <w:p w:rsidR="00000000" w:rsidDel="00000000" w:rsidP="00000000" w:rsidRDefault="00000000" w:rsidRPr="00000000" w14:paraId="00000192">
      <w:pPr>
        <w:keepNext w:val="0"/>
        <w:keepLines w:val="0"/>
        <w:pageBreakBefore w:val="0"/>
        <w:widowControl w:val="1"/>
        <w:numPr>
          <w:ilvl w:val="2"/>
          <w:numId w:val="3"/>
        </w:numPr>
        <w:pBdr>
          <w:top w:space="0" w:sz="0" w:val="nil"/>
          <w:left w:space="0" w:sz="0" w:val="nil"/>
          <w:bottom w:space="0" w:sz="0" w:val="nil"/>
          <w:right w:space="0" w:sz="0" w:val="nil"/>
          <w:between w:space="0" w:sz="0" w:val="nil"/>
        </w:pBdr>
        <w:shd w:fill="auto" w:val="clear"/>
        <w:spacing w:after="60" w:before="60" w:line="276" w:lineRule="auto"/>
        <w:ind w:left="360" w:right="0" w:hanging="360"/>
        <w:jc w:val="both"/>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Il requisito relativo all’iscrizione nel Registro delle Imprese oppure nell’Albo delle Imprese artigiane di cui di cui al punto 6.1 deve essere posseduto dal consorzio e dai consorziati indicati come esecutori.</w:t>
      </w:r>
      <w:r w:rsidDel="00000000" w:rsidR="00000000" w:rsidRPr="00000000">
        <w:rPr>
          <w:rtl w:val="0"/>
        </w:rPr>
      </w:r>
    </w:p>
    <w:p w:rsidR="00000000" w:rsidDel="00000000" w:rsidP="00000000" w:rsidRDefault="00000000" w:rsidRPr="00000000" w14:paraId="00000193">
      <w:pPr>
        <w:spacing w:after="60" w:before="60" w:lineRule="auto"/>
        <w:rPr>
          <w:rFonts w:ascii="Titillium" w:cs="Titillium" w:eastAsia="Titillium" w:hAnsi="Titillium"/>
          <w:b w:val="1"/>
          <w:sz w:val="18"/>
          <w:szCs w:val="18"/>
        </w:rPr>
      </w:pPr>
      <w:r w:rsidDel="00000000" w:rsidR="00000000" w:rsidRPr="00000000">
        <w:rPr>
          <w:rFonts w:ascii="Titillium" w:cs="Titillium" w:eastAsia="Titillium" w:hAnsi="Titillium"/>
          <w:b w:val="1"/>
          <w:sz w:val="18"/>
          <w:szCs w:val="18"/>
          <w:rtl w:val="0"/>
        </w:rPr>
        <w:t xml:space="preserve">Requisiti di capacità tecnico-professionale</w:t>
      </w:r>
    </w:p>
    <w:p w:rsidR="00000000" w:rsidDel="00000000" w:rsidP="00000000" w:rsidRDefault="00000000" w:rsidRPr="00000000" w14:paraId="00000194">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 consorzi di cui all’articolo 65, comma 2, lettera b) e c) del Codice, utilizzano i requisiti propri e, nel novero di questi, fanno valere i mezzi nella disponibilità delle consorziate che li costituiscono.</w:t>
      </w:r>
    </w:p>
    <w:p w:rsidR="00000000" w:rsidDel="00000000" w:rsidP="00000000" w:rsidRDefault="00000000" w:rsidRPr="00000000" w14:paraId="00000195">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Per i consorzi di cui all’articolo 65, comma 2, lett. d) del Codice, i requisiti di capacità tecnica e finanziaria sono computati cumulativamente in capo al consorzio ancorché posseduti dalle singole consorziate.</w:t>
      </w:r>
    </w:p>
    <w:p w:rsidR="00000000" w:rsidDel="00000000" w:rsidP="00000000" w:rsidRDefault="00000000" w:rsidRPr="00000000" w14:paraId="00000196">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Nel caso in cui un consorzio abbia estromesso o sostituito una consorziata poiché priva di un requisito di ordine speciale di cui all’articolo 100 del Codice, si valutano le misure adottate ai sensi dell’articolo 97 del Codice al fine di decidere sull’esclusione.</w:t>
      </w:r>
    </w:p>
    <w:p w:rsidR="00000000" w:rsidDel="00000000" w:rsidP="00000000" w:rsidRDefault="00000000" w:rsidRPr="00000000" w14:paraId="00000197">
      <w:pPr>
        <w:pStyle w:val="Heading1"/>
        <w:rPr/>
      </w:pPr>
      <w:bookmarkStart w:colFirst="0" w:colLast="0" w:name="_2grqrue" w:id="24"/>
      <w:bookmarkEnd w:id="24"/>
      <w:r w:rsidDel="00000000" w:rsidR="00000000" w:rsidRPr="00000000">
        <w:rPr>
          <w:rtl w:val="0"/>
        </w:rPr>
        <w:t xml:space="preserve">7. AVVALIMENTO </w:t>
      </w:r>
    </w:p>
    <w:p w:rsidR="00000000" w:rsidDel="00000000" w:rsidP="00000000" w:rsidRDefault="00000000" w:rsidRPr="00000000" w14:paraId="00000198">
      <w:pPr>
        <w:tabs>
          <w:tab w:val="left" w:leader="none" w:pos="0"/>
        </w:tabs>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Il concorrente può avvalersi di dotazioni tecniche, risorse umane e strumentali messe a disposizione da uno o più operatori economici ausiliari per dimostrare il possesso dei requisiti di ordine speciale di cui al punto 6 e/o per migliorare la propria offerta.</w:t>
      </w:r>
    </w:p>
    <w:p w:rsidR="00000000" w:rsidDel="00000000" w:rsidP="00000000" w:rsidRDefault="00000000" w:rsidRPr="00000000" w14:paraId="00000199">
      <w:pPr>
        <w:tabs>
          <w:tab w:val="left" w:leader="none" w:pos="0"/>
        </w:tabs>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Nel contratto di avvalimento le parti specificano le risorse strumentali e umane che l’ausiliario mette a disposizione del concorrente e indicano se l’avvalimento è finalizzato ad acquisire un requisito di partecipazione o a migliorare l’offerta del concorrente, o se serve ad entrambe le finalità.</w:t>
      </w:r>
    </w:p>
    <w:p w:rsidR="00000000" w:rsidDel="00000000" w:rsidP="00000000" w:rsidRDefault="00000000" w:rsidRPr="00000000" w14:paraId="0000019A">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Nei casi in cui l’avvalimento sia finalizzato a migliorare l’offerta, non è consentito che alla stessa gara partecipino sia l’ausiliario che l’operatore che si avvale delle risorse da questo a messe a disposizione, pena l’esclusione di entrambi i soggetti.</w:t>
      </w:r>
    </w:p>
    <w:p w:rsidR="00000000" w:rsidDel="00000000" w:rsidP="00000000" w:rsidRDefault="00000000" w:rsidRPr="00000000" w14:paraId="0000019B">
      <w:pPr>
        <w:tabs>
          <w:tab w:val="left" w:leader="none" w:pos="0"/>
        </w:tabs>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Ai sensi dell’articolo 372, comma 4 del codice della crisi di impresa e dell’insolvenza, per la partecipazione alla presente procedura tra il momento del deposito della domanda di cui all’articolo 40 del succitato codice e il momento del deposito del decreto previsto dall'articolo 47 del codice medesimo è sempre necessario l'avvalimento dei requisiti di un altro soggetto. L’avvalimento non è necessario in caso di ammissione al concordato preventivo.</w:t>
      </w:r>
    </w:p>
    <w:p w:rsidR="00000000" w:rsidDel="00000000" w:rsidP="00000000" w:rsidRDefault="00000000" w:rsidRPr="00000000" w14:paraId="0000019C">
      <w:pPr>
        <w:spacing w:after="60" w:before="60" w:lineRule="auto"/>
        <w:rPr/>
      </w:pPr>
      <w:r w:rsidDel="00000000" w:rsidR="00000000" w:rsidRPr="00000000">
        <w:rPr>
          <w:rFonts w:ascii="Titillium" w:cs="Titillium" w:eastAsia="Titillium" w:hAnsi="Titillium"/>
          <w:sz w:val="18"/>
          <w:szCs w:val="18"/>
          <w:rtl w:val="0"/>
        </w:rPr>
        <w:t xml:space="preserve">Il concorrente e l’ausiliario sono responsabili in solido nei confronti della stazione appaltante in relazione alle prestazioni oggetto del contratto.</w:t>
      </w:r>
      <w:r w:rsidDel="00000000" w:rsidR="00000000" w:rsidRPr="00000000">
        <w:rPr>
          <w:rtl w:val="0"/>
        </w:rPr>
      </w:r>
    </w:p>
    <w:p w:rsidR="00000000" w:rsidDel="00000000" w:rsidP="00000000" w:rsidRDefault="00000000" w:rsidRPr="00000000" w14:paraId="0000019D">
      <w:pPr>
        <w:tabs>
          <w:tab w:val="left" w:leader="none" w:pos="0"/>
        </w:tabs>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Non è consentito l’avvalimento per soddisfare i requisiti di ordine generale e dell’iscrizione alla Camera di commercio.</w:t>
      </w:r>
    </w:p>
    <w:p w:rsidR="00000000" w:rsidDel="00000000" w:rsidP="00000000" w:rsidRDefault="00000000" w:rsidRPr="00000000" w14:paraId="0000019E">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L’ausiliario deve:</w:t>
      </w:r>
    </w:p>
    <w:p w:rsidR="00000000" w:rsidDel="00000000" w:rsidP="00000000" w:rsidRDefault="00000000" w:rsidRPr="00000000" w14:paraId="0000019F">
      <w:pPr>
        <w:keepNext w:val="0"/>
        <w:keepLines w:val="0"/>
        <w:pageBreakBefore w:val="0"/>
        <w:widowControl w:val="1"/>
        <w:numPr>
          <w:ilvl w:val="2"/>
          <w:numId w:val="35"/>
        </w:numPr>
        <w:pBdr>
          <w:top w:space="0" w:sz="0" w:val="nil"/>
          <w:left w:space="0" w:sz="0" w:val="nil"/>
          <w:bottom w:space="0" w:sz="0" w:val="nil"/>
          <w:right w:space="0" w:sz="0" w:val="nil"/>
          <w:between w:space="0" w:sz="0" w:val="nil"/>
        </w:pBdr>
        <w:shd w:fill="auto" w:val="clear"/>
        <w:spacing w:after="60" w:before="60" w:line="276" w:lineRule="auto"/>
        <w:ind w:left="709" w:right="0" w:hanging="360"/>
        <w:jc w:val="both"/>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possedere i requisiti previsti dall’articolo 5 e dichiararli presentando un proprio DGUE, da compilare nelle parti pertinenti;</w:t>
      </w:r>
      <w:r w:rsidDel="00000000" w:rsidR="00000000" w:rsidRPr="00000000">
        <w:rPr>
          <w:rtl w:val="0"/>
        </w:rPr>
      </w:r>
    </w:p>
    <w:p w:rsidR="00000000" w:rsidDel="00000000" w:rsidP="00000000" w:rsidRDefault="00000000" w:rsidRPr="00000000" w14:paraId="000001A0">
      <w:pPr>
        <w:keepNext w:val="0"/>
        <w:keepLines w:val="0"/>
        <w:pageBreakBefore w:val="0"/>
        <w:widowControl w:val="1"/>
        <w:numPr>
          <w:ilvl w:val="2"/>
          <w:numId w:val="35"/>
        </w:numPr>
        <w:pBdr>
          <w:top w:space="0" w:sz="0" w:val="nil"/>
          <w:left w:space="0" w:sz="0" w:val="nil"/>
          <w:bottom w:space="0" w:sz="0" w:val="nil"/>
          <w:right w:space="0" w:sz="0" w:val="nil"/>
          <w:between w:space="0" w:sz="0" w:val="nil"/>
        </w:pBdr>
        <w:shd w:fill="auto" w:val="clear"/>
        <w:spacing w:after="60" w:before="60" w:line="276" w:lineRule="auto"/>
        <w:ind w:left="709" w:right="0" w:hanging="360"/>
        <w:jc w:val="both"/>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possedere i requisiti i di cui all’articolo 6 oggetto di avvalimento e dichiararli nel proprio DGUE, da compilare nelle parti pertinenti; </w:t>
      </w:r>
      <w:r w:rsidDel="00000000" w:rsidR="00000000" w:rsidRPr="00000000">
        <w:rPr>
          <w:rtl w:val="0"/>
        </w:rPr>
      </w:r>
    </w:p>
    <w:p w:rsidR="00000000" w:rsidDel="00000000" w:rsidP="00000000" w:rsidRDefault="00000000" w:rsidRPr="00000000" w14:paraId="000001A1">
      <w:pPr>
        <w:keepNext w:val="0"/>
        <w:keepLines w:val="0"/>
        <w:pageBreakBefore w:val="0"/>
        <w:widowControl w:val="1"/>
        <w:numPr>
          <w:ilvl w:val="2"/>
          <w:numId w:val="35"/>
        </w:numPr>
        <w:pBdr>
          <w:top w:space="0" w:sz="0" w:val="nil"/>
          <w:left w:space="0" w:sz="0" w:val="nil"/>
          <w:bottom w:space="0" w:sz="0" w:val="nil"/>
          <w:right w:space="0" w:sz="0" w:val="nil"/>
          <w:between w:space="0" w:sz="0" w:val="nil"/>
        </w:pBdr>
        <w:shd w:fill="auto" w:val="clear"/>
        <w:spacing w:after="60" w:before="60" w:line="276" w:lineRule="auto"/>
        <w:ind w:left="709" w:right="0" w:hanging="360"/>
        <w:jc w:val="both"/>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impegnarsi, verso il concorrente che si avvale e verso la stazione appaltante, a mettere a disposizione, per tutta la durata dell’appalto, le risorse (riferite a requisiti di partecipazione e/o premiali) oggetto di avvalimento . </w:t>
      </w:r>
      <w:r w:rsidDel="00000000" w:rsidR="00000000" w:rsidRPr="00000000">
        <w:rPr>
          <w:rtl w:val="0"/>
        </w:rPr>
      </w:r>
    </w:p>
    <w:p w:rsidR="00000000" w:rsidDel="00000000" w:rsidP="00000000" w:rsidRDefault="00000000" w:rsidRPr="00000000" w14:paraId="000001A2">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Il concorrente allega alla domanda di partecipazione il contratto di avvalimento, che deve essere nativo digitale e firmato digitalmente dalle parti, nonché le dichiarazioni dell’ausiliario.</w:t>
      </w:r>
    </w:p>
    <w:p w:rsidR="00000000" w:rsidDel="00000000" w:rsidP="00000000" w:rsidRDefault="00000000" w:rsidRPr="00000000" w14:paraId="000001A3">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È sanabile, mediante soccorso istruttorio, la mancata produzione delle dichiarazioni dell’ausiliario.</w:t>
      </w:r>
    </w:p>
    <w:p w:rsidR="00000000" w:rsidDel="00000000" w:rsidP="00000000" w:rsidRDefault="00000000" w:rsidRPr="00000000" w14:paraId="000001A4">
      <w:pPr>
        <w:spacing w:after="60" w:before="60" w:lineRule="auto"/>
        <w:rPr/>
      </w:pPr>
      <w:r w:rsidDel="00000000" w:rsidR="00000000" w:rsidRPr="00000000">
        <w:rPr>
          <w:rFonts w:ascii="Titillium" w:cs="Titillium" w:eastAsia="Titillium" w:hAnsi="Titillium"/>
          <w:sz w:val="18"/>
          <w:szCs w:val="18"/>
          <w:rtl w:val="0"/>
        </w:rPr>
        <w:t xml:space="preserve">È sanabile, mediante soccorso istruttorio, la mancata produzione del contratto di avvalimento a condizione che il contratto sia stato stipulato prima del termine di presentazione dell’offerta e che tale circostanza sia comprovabile con data certa.</w:t>
      </w:r>
      <w:r w:rsidDel="00000000" w:rsidR="00000000" w:rsidRPr="00000000">
        <w:rPr>
          <w:rtl w:val="0"/>
        </w:rPr>
      </w:r>
    </w:p>
    <w:p w:rsidR="00000000" w:rsidDel="00000000" w:rsidP="00000000" w:rsidRDefault="00000000" w:rsidRPr="00000000" w14:paraId="000001A5">
      <w:pPr>
        <w:tabs>
          <w:tab w:val="left" w:leader="none" w:pos="0"/>
        </w:tabs>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Non è sanabile la mancata indicazione delle risorse messe a disposizione dall’ausiliario in quanto causa di nullità del contratto di avvalimento.</w:t>
      </w:r>
    </w:p>
    <w:p w:rsidR="00000000" w:rsidDel="00000000" w:rsidP="00000000" w:rsidRDefault="00000000" w:rsidRPr="00000000" w14:paraId="000001A6">
      <w:pPr>
        <w:spacing w:after="60" w:before="60" w:lineRule="auto"/>
        <w:rPr/>
      </w:pPr>
      <w:r w:rsidDel="00000000" w:rsidR="00000000" w:rsidRPr="00000000">
        <w:rPr>
          <w:rFonts w:ascii="Titillium" w:cs="Titillium" w:eastAsia="Titillium" w:hAnsi="Titillium"/>
          <w:sz w:val="18"/>
          <w:szCs w:val="18"/>
          <w:rtl w:val="0"/>
        </w:rPr>
        <w:t xml:space="preserve">Qualora per l’ausiliario sussistano motivi di esclusione o laddove esso non soddisfi i requisiti di ordine speciale, il concorrente sostituisce l’ausiliario entro 15</w:t>
      </w:r>
      <w:r w:rsidDel="00000000" w:rsidR="00000000" w:rsidRPr="00000000">
        <w:rPr>
          <w:rFonts w:ascii="Titillium" w:cs="Titillium" w:eastAsia="Titillium" w:hAnsi="Titillium"/>
          <w:sz w:val="18"/>
          <w:szCs w:val="18"/>
          <w:rtl w:val="0"/>
        </w:rPr>
        <w:t xml:space="preserve"> giorni decorrenti dal ricevimento della richiesta da parte della stazione appaltante. Contestualmente il concorrente produce i documenti richiesti per l’avvalimento. </w:t>
      </w:r>
      <w:r w:rsidDel="00000000" w:rsidR="00000000" w:rsidRPr="00000000">
        <w:rPr>
          <w:rtl w:val="0"/>
        </w:rPr>
      </w:r>
    </w:p>
    <w:p w:rsidR="00000000" w:rsidDel="00000000" w:rsidP="00000000" w:rsidRDefault="00000000" w:rsidRPr="00000000" w14:paraId="000001A7">
      <w:pPr>
        <w:tabs>
          <w:tab w:val="left" w:leader="none" w:pos="0"/>
        </w:tabs>
        <w:spacing w:after="60" w:before="60" w:lineRule="auto"/>
        <w:rPr/>
      </w:pPr>
      <w:r w:rsidDel="00000000" w:rsidR="00000000" w:rsidRPr="00000000">
        <w:rPr>
          <w:rFonts w:ascii="Titillium" w:cs="Titillium" w:eastAsia="Titillium" w:hAnsi="Titillium"/>
          <w:sz w:val="18"/>
          <w:szCs w:val="18"/>
          <w:rtl w:val="0"/>
        </w:rPr>
        <w:t xml:space="preserve">Nel caso in cui l’ausiliario si sia reso responsabile di una falsa dichiarazione sul possesso dei requisiti, la stazione appaltante procede a segnalare all’Autorità nazionale anticorruzione il comportamento tenuto dall’ausiliario per consentire le valutazioni di cui all’articolo 96, comma 15, del Codice. L’operatore economico può indicare un altro ausiliario nel termine di dieci giorni, pena l’esclusione dalla gara. La sostituzione può essere effettuata soltanto nel caso in cui non conduca a una modifica sostanziale dell’offerta. Il mancato rispetto del termine assegnato per la sostituzione comporta l’esclusione del concorrente.</w:t>
      </w:r>
      <w:r w:rsidDel="00000000" w:rsidR="00000000" w:rsidRPr="00000000">
        <w:rPr>
          <w:rtl w:val="0"/>
        </w:rPr>
      </w:r>
    </w:p>
    <w:p w:rsidR="00000000" w:rsidDel="00000000" w:rsidP="00000000" w:rsidRDefault="00000000" w:rsidRPr="00000000" w14:paraId="000001A8">
      <w:pPr>
        <w:pStyle w:val="Heading1"/>
        <w:rPr/>
      </w:pPr>
      <w:bookmarkStart w:colFirst="0" w:colLast="0" w:name="_vx1227" w:id="25"/>
      <w:bookmarkEnd w:id="25"/>
      <w:r w:rsidDel="00000000" w:rsidR="00000000" w:rsidRPr="00000000">
        <w:rPr>
          <w:rtl w:val="0"/>
        </w:rPr>
        <w:t xml:space="preserve">8. SUBAPPALTO</w:t>
      </w:r>
    </w:p>
    <w:p w:rsidR="00000000" w:rsidDel="00000000" w:rsidP="00000000" w:rsidRDefault="00000000" w:rsidRPr="00000000" w14:paraId="000001A9">
      <w:pPr>
        <w:spacing w:after="60" w:before="60" w:lineRule="auto"/>
        <w:rPr/>
      </w:pPr>
      <w:r w:rsidDel="00000000" w:rsidR="00000000" w:rsidRPr="00000000">
        <w:rPr>
          <w:rFonts w:ascii="Titillium" w:cs="Titillium" w:eastAsia="Titillium" w:hAnsi="Titillium"/>
          <w:sz w:val="18"/>
          <w:szCs w:val="18"/>
          <w:rtl w:val="0"/>
        </w:rPr>
        <w:t xml:space="preserve">Il concorrente indica le prestazioni che intende subappaltare o concedere in cottimo. In caso di mancata indicazione il subappalto è vietato. </w:t>
      </w:r>
      <w:r w:rsidDel="00000000" w:rsidR="00000000" w:rsidRPr="00000000">
        <w:rPr>
          <w:rtl w:val="0"/>
        </w:rPr>
      </w:r>
    </w:p>
    <w:p w:rsidR="00000000" w:rsidDel="00000000" w:rsidP="00000000" w:rsidRDefault="00000000" w:rsidRPr="00000000" w14:paraId="000001AA">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Non può essere affidata in subappalto l’integrale esecuzione delle prestazioni oggetto del contratto</w:t>
      </w:r>
      <w:r w:rsidDel="00000000" w:rsidR="00000000" w:rsidRPr="00000000">
        <w:rPr>
          <w:rFonts w:ascii="Titillium" w:cs="Titillium" w:eastAsia="Titillium" w:hAnsi="Titillium"/>
          <w:sz w:val="18"/>
          <w:szCs w:val="18"/>
          <w:rtl w:val="0"/>
        </w:rPr>
        <w:t xml:space="preserve">.</w:t>
      </w:r>
    </w:p>
    <w:p w:rsidR="00000000" w:rsidDel="00000000" w:rsidP="00000000" w:rsidRDefault="00000000" w:rsidRPr="00000000" w14:paraId="000001AB">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L’aggiudicatario e il subappaltatore sono responsabili in solido nei confronti della stazione appaltante dell’esecuzione delle prestazioni oggetto del contratto di subappalto.</w:t>
      </w:r>
    </w:p>
    <w:p w:rsidR="00000000" w:rsidDel="00000000" w:rsidP="00000000" w:rsidRDefault="00000000" w:rsidRPr="00000000" w14:paraId="000001AC">
      <w:pPr>
        <w:pStyle w:val="Heading1"/>
        <w:rPr/>
      </w:pPr>
      <w:bookmarkStart w:colFirst="0" w:colLast="0" w:name="_3fwokq0" w:id="26"/>
      <w:bookmarkEnd w:id="26"/>
      <w:r w:rsidDel="00000000" w:rsidR="00000000" w:rsidRPr="00000000">
        <w:rPr>
          <w:rtl w:val="0"/>
        </w:rPr>
        <w:t xml:space="preserve">9. REQUISITI DI PARTECIPAZIONE E/O CONDIZIONI DI ESECUZIONE </w:t>
      </w:r>
    </w:p>
    <w:p w:rsidR="00000000" w:rsidDel="00000000" w:rsidP="00000000" w:rsidRDefault="00000000" w:rsidRPr="00000000" w14:paraId="000001AD">
      <w:pPr>
        <w:spacing w:after="60" w:before="60" w:lineRule="auto"/>
        <w:rPr>
          <w:rFonts w:ascii="Titillium" w:cs="Titillium" w:eastAsia="Titillium" w:hAnsi="Titillium"/>
          <w:b w:val="1"/>
          <w:sz w:val="18"/>
          <w:szCs w:val="18"/>
        </w:rPr>
      </w:pPr>
      <w:r w:rsidDel="00000000" w:rsidR="00000000" w:rsidRPr="00000000">
        <w:rPr>
          <w:rFonts w:ascii="Titillium" w:cs="Titillium" w:eastAsia="Titillium" w:hAnsi="Titillium"/>
          <w:sz w:val="18"/>
          <w:szCs w:val="18"/>
          <w:rtl w:val="0"/>
        </w:rPr>
        <w:t xml:space="preserve">L’aggiudicatario è tenuto a garantire l’applicazione dei contratti collettivo nazionale e territoriale (o dei contratti collettivi nazionali e territoriali di settore) di cui al punto 3, oppure di un altro contratto che garantisca le stesse tutele economiche e normative per i propri lavoratori e per quelli in subappalto</w:t>
      </w:r>
      <w:r w:rsidDel="00000000" w:rsidR="00000000" w:rsidRPr="00000000">
        <w:rPr>
          <w:rFonts w:ascii="Titillium" w:cs="Titillium" w:eastAsia="Titillium" w:hAnsi="Titillium"/>
          <w:b w:val="1"/>
          <w:sz w:val="18"/>
          <w:szCs w:val="18"/>
          <w:rtl w:val="0"/>
        </w:rPr>
        <w:t xml:space="preserve">.</w:t>
      </w:r>
    </w:p>
    <w:p w:rsidR="00000000" w:rsidDel="00000000" w:rsidP="00000000" w:rsidRDefault="00000000" w:rsidRPr="00000000" w14:paraId="000001AE">
      <w:pPr>
        <w:pStyle w:val="Heading1"/>
        <w:rPr/>
      </w:pPr>
      <w:bookmarkStart w:colFirst="0" w:colLast="0" w:name="_4f1mdlm" w:id="27"/>
      <w:bookmarkEnd w:id="27"/>
      <w:r w:rsidDel="00000000" w:rsidR="00000000" w:rsidRPr="00000000">
        <w:rPr>
          <w:rtl w:val="0"/>
        </w:rPr>
        <w:t xml:space="preserve">10. GARANZIA PROVVISORIA</w:t>
      </w:r>
    </w:p>
    <w:p w:rsidR="00000000" w:rsidDel="00000000" w:rsidP="00000000" w:rsidRDefault="00000000" w:rsidRPr="00000000" w14:paraId="000001AF">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L’offerta per ciascun lotto è corredata, a pena di esclusione,</w:t>
      </w:r>
      <w:r w:rsidDel="00000000" w:rsidR="00000000" w:rsidRPr="00000000">
        <w:rPr>
          <w:rFonts w:ascii="Titillium" w:cs="Titillium" w:eastAsia="Titillium" w:hAnsi="Titillium"/>
          <w:b w:val="1"/>
          <w:sz w:val="18"/>
          <w:szCs w:val="18"/>
          <w:rtl w:val="0"/>
        </w:rPr>
        <w:t xml:space="preserve"> </w:t>
      </w:r>
      <w:r w:rsidDel="00000000" w:rsidR="00000000" w:rsidRPr="00000000">
        <w:rPr>
          <w:rFonts w:ascii="Titillium" w:cs="Titillium" w:eastAsia="Titillium" w:hAnsi="Titillium"/>
          <w:sz w:val="18"/>
          <w:szCs w:val="18"/>
          <w:rtl w:val="0"/>
        </w:rPr>
        <w:t xml:space="preserve">da una garanzia provvisoria pari al 2% del valore a base di gara per il lotto per cui si partecipa </w:t>
      </w:r>
      <w:r w:rsidDel="00000000" w:rsidR="00000000" w:rsidRPr="00000000">
        <w:rPr>
          <w:rFonts w:ascii="Titillium" w:cs="Titillium" w:eastAsia="Titillium" w:hAnsi="Titillium"/>
          <w:i w:val="1"/>
          <w:sz w:val="18"/>
          <w:szCs w:val="18"/>
          <w:rtl w:val="0"/>
        </w:rPr>
        <w:t xml:space="preserve"> </w:t>
      </w:r>
      <w:r w:rsidDel="00000000" w:rsidR="00000000" w:rsidRPr="00000000">
        <w:rPr>
          <w:rFonts w:ascii="Titillium" w:cs="Titillium" w:eastAsia="Titillium" w:hAnsi="Titillium"/>
          <w:sz w:val="18"/>
          <w:szCs w:val="18"/>
          <w:rtl w:val="0"/>
        </w:rPr>
        <w:t xml:space="preserve">e precisamente di importo pari a </w:t>
      </w:r>
    </w:p>
    <w:p w:rsidR="00000000" w:rsidDel="00000000" w:rsidP="00000000" w:rsidRDefault="00000000" w:rsidRPr="00000000" w14:paraId="000001B0">
      <w:pPr>
        <w:widowControl w:val="0"/>
        <w:jc w:val="left"/>
        <w:rPr>
          <w:rFonts w:ascii="Arial" w:cs="Arial" w:eastAsia="Arial" w:hAnsi="Arial"/>
          <w:sz w:val="18"/>
          <w:szCs w:val="18"/>
        </w:rPr>
      </w:pPr>
      <w:r w:rsidDel="00000000" w:rsidR="00000000" w:rsidRPr="00000000">
        <w:rPr>
          <w:rtl w:val="0"/>
        </w:rPr>
      </w:r>
    </w:p>
    <w:tbl>
      <w:tblPr>
        <w:tblStyle w:val="Table11"/>
        <w:tblW w:w="9090.0" w:type="dxa"/>
        <w:jc w:val="left"/>
        <w:tblInd w:w="162.0" w:type="dxa"/>
        <w:tblLayout w:type="fixed"/>
        <w:tblLook w:val="0600"/>
      </w:tblPr>
      <w:tblGrid>
        <w:gridCol w:w="1020"/>
        <w:gridCol w:w="3810"/>
        <w:gridCol w:w="4260"/>
        <w:tblGridChange w:id="0">
          <w:tblGrid>
            <w:gridCol w:w="1020"/>
            <w:gridCol w:w="3810"/>
            <w:gridCol w:w="4260"/>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cccccc" w:val="clear"/>
          </w:tcPr>
          <w:p w:rsidR="00000000" w:rsidDel="00000000" w:rsidP="00000000" w:rsidRDefault="00000000" w:rsidRPr="00000000" w14:paraId="000001B1">
            <w:pPr>
              <w:widowControl w:val="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Lotto n.</w:t>
            </w:r>
          </w:p>
          <w:p w:rsidR="00000000" w:rsidDel="00000000" w:rsidP="00000000" w:rsidRDefault="00000000" w:rsidRPr="00000000" w14:paraId="000001B2">
            <w:pPr>
              <w:widowControl w:val="0"/>
              <w:spacing w:line="240" w:lineRule="auto"/>
              <w:jc w:val="center"/>
              <w:rPr>
                <w:rFonts w:ascii="Arial" w:cs="Arial" w:eastAsia="Arial" w:hAnsi="Arial"/>
                <w:sz w:val="18"/>
                <w:szCs w:val="18"/>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cccccc" w:val="clear"/>
          </w:tcPr>
          <w:p w:rsidR="00000000" w:rsidDel="00000000" w:rsidP="00000000" w:rsidRDefault="00000000" w:rsidRPr="00000000" w14:paraId="000001B3">
            <w:pPr>
              <w:widowControl w:val="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Importo a base di gara</w:t>
            </w:r>
          </w:p>
        </w:tc>
        <w:tc>
          <w:tcPr>
            <w:tcBorders>
              <w:top w:color="000000" w:space="0" w:sz="8" w:val="single"/>
              <w:left w:color="000000" w:space="0" w:sz="8" w:val="single"/>
              <w:bottom w:color="000000" w:space="0" w:sz="8" w:val="single"/>
              <w:right w:color="000000" w:space="0" w:sz="8" w:val="single"/>
            </w:tcBorders>
            <w:shd w:fill="cccccc" w:val="clear"/>
          </w:tcPr>
          <w:p w:rsidR="00000000" w:rsidDel="00000000" w:rsidP="00000000" w:rsidRDefault="00000000" w:rsidRPr="00000000" w14:paraId="000001B4">
            <w:pPr>
              <w:widowControl w:val="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Importo garanzia</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B5">
            <w:pPr>
              <w:widowControl w:val="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B6">
            <w:pPr>
              <w:widowControl w:val="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129.000,00</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B7">
            <w:pPr>
              <w:widowControl w:val="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2.580,00</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B8">
            <w:pPr>
              <w:widowControl w:val="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2</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B9">
            <w:pPr>
              <w:widowControl w:val="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95.000,00</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BA">
            <w:pPr>
              <w:widowControl w:val="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1.900,00</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BB">
            <w:pPr>
              <w:widowControl w:val="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3</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BC">
            <w:pPr>
              <w:widowControl w:val="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160.500,00</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BD">
            <w:pPr>
              <w:widowControl w:val="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3.210,00</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BE">
            <w:pPr>
              <w:widowControl w:val="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4</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BF">
            <w:pPr>
              <w:widowControl w:val="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162.000,00</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C0">
            <w:pPr>
              <w:widowControl w:val="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3.240,00</w:t>
            </w:r>
          </w:p>
        </w:tc>
      </w:tr>
    </w:tbl>
    <w:p w:rsidR="00000000" w:rsidDel="00000000" w:rsidP="00000000" w:rsidRDefault="00000000" w:rsidRPr="00000000" w14:paraId="000001C1">
      <w:pPr>
        <w:spacing w:after="60" w:before="60" w:lineRule="auto"/>
        <w:rPr>
          <w:rFonts w:ascii="Titillium" w:cs="Titillium" w:eastAsia="Titillium" w:hAnsi="Titillium"/>
          <w:sz w:val="18"/>
          <w:szCs w:val="18"/>
        </w:rPr>
      </w:pPr>
      <w:r w:rsidDel="00000000" w:rsidR="00000000" w:rsidRPr="00000000">
        <w:rPr>
          <w:rtl w:val="0"/>
        </w:rPr>
        <w:br w:type="textWrapping"/>
      </w:r>
      <w:r w:rsidDel="00000000" w:rsidR="00000000" w:rsidRPr="00000000">
        <w:rPr>
          <w:rFonts w:ascii="Titillium" w:cs="Titillium" w:eastAsia="Titillium" w:hAnsi="Titillium"/>
          <w:sz w:val="18"/>
          <w:szCs w:val="18"/>
          <w:rtl w:val="0"/>
        </w:rPr>
        <w:t xml:space="preserve">In caso di partecipazione a più lotti l’operatore economico può alternativamente:</w:t>
      </w:r>
    </w:p>
    <w:p w:rsidR="00000000" w:rsidDel="00000000" w:rsidP="00000000" w:rsidRDefault="00000000" w:rsidRPr="00000000" w14:paraId="000001C2">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 prestare tante distinte ed autonome garanzie provvisorie quanti sono i lotti cui si intende partecipare;</w:t>
      </w:r>
    </w:p>
    <w:p w:rsidR="00000000" w:rsidDel="00000000" w:rsidP="00000000" w:rsidRDefault="00000000" w:rsidRPr="00000000" w14:paraId="000001C3">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 prestare un’unica garanzia di importo pari alla somma degli importi stabiliti per i lotti cui intende partecipare. Nella garanzia sono indicati espressamente i singoli lotti per i quali la stessa viene prestata, nonché gli importi di dettaglio delle singole cauzioni riferite a ciascun lotto. </w:t>
      </w:r>
    </w:p>
    <w:p w:rsidR="00000000" w:rsidDel="00000000" w:rsidP="00000000" w:rsidRDefault="00000000" w:rsidRPr="00000000" w14:paraId="000001C4">
      <w:pPr>
        <w:spacing w:after="60" w:before="120" w:lineRule="auto"/>
        <w:ind w:left="425" w:hanging="425"/>
        <w:rPr/>
      </w:pPr>
      <w:r w:rsidDel="00000000" w:rsidR="00000000" w:rsidRPr="00000000">
        <w:rPr>
          <w:rFonts w:ascii="Titillium" w:cs="Titillium" w:eastAsia="Titillium" w:hAnsi="Titillium"/>
          <w:sz w:val="18"/>
          <w:szCs w:val="18"/>
          <w:rtl w:val="0"/>
        </w:rPr>
        <w:t xml:space="preserve">La garanzia provvisoria è costituita, a scelta del concorrente sotto forma di cauzione o di fideiussione:</w:t>
      </w:r>
      <w:r w:rsidDel="00000000" w:rsidR="00000000" w:rsidRPr="00000000">
        <w:rPr>
          <w:rtl w:val="0"/>
        </w:rPr>
      </w:r>
    </w:p>
    <w:p w:rsidR="00000000" w:rsidDel="00000000" w:rsidP="00000000" w:rsidRDefault="00000000" w:rsidRPr="00000000" w14:paraId="000001C5">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cauzione è costituita mediante accredito, con bonifico o con altri strumenti e canali di pagamento elettronici, presso il conto </w:t>
      </w:r>
      <w:r w:rsidDel="00000000" w:rsidR="00000000" w:rsidRPr="00000000">
        <w:rPr>
          <w:rFonts w:ascii="Arial" w:cs="Arial" w:eastAsia="Arial" w:hAnsi="Arial"/>
          <w:sz w:val="18"/>
          <w:szCs w:val="18"/>
          <w:rtl w:val="0"/>
        </w:rPr>
        <w:t xml:space="preserve">  BANCA UNICREDIT Iban IT 25 N 020008 02435 000106004905</w:t>
      </w:r>
      <w:r w:rsidDel="00000000" w:rsidR="00000000" w:rsidRPr="00000000">
        <w:rPr>
          <w:rFonts w:ascii="Titillium" w:cs="Titillium" w:eastAsia="Titillium" w:hAnsi="Titillium"/>
          <w:sz w:val="18"/>
          <w:szCs w:val="18"/>
          <w:rtl w:val="0"/>
        </w:rPr>
        <w:t xml:space="preserve">;</w:t>
      </w:r>
    </w:p>
    <w:p w:rsidR="00000000" w:rsidDel="00000000" w:rsidP="00000000" w:rsidRDefault="00000000" w:rsidRPr="00000000" w14:paraId="000001C6">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fideiussione può essere rilasciata:</w:t>
      </w:r>
    </w:p>
    <w:p w:rsidR="00000000" w:rsidDel="00000000" w:rsidP="00000000" w:rsidRDefault="00000000" w:rsidRPr="00000000" w14:paraId="000001C7">
      <w:pPr>
        <w:keepNext w:val="0"/>
        <w:keepLines w:val="0"/>
        <w:pageBreakBefore w:val="0"/>
        <w:widowControl w:val="1"/>
        <w:numPr>
          <w:ilvl w:val="1"/>
          <w:numId w:val="35"/>
        </w:numPr>
        <w:pBdr>
          <w:top w:space="0" w:sz="0" w:val="nil"/>
          <w:left w:space="0" w:sz="0" w:val="nil"/>
          <w:bottom w:space="0" w:sz="0" w:val="nil"/>
          <w:right w:space="0" w:sz="0" w:val="nil"/>
          <w:between w:space="0" w:sz="0" w:val="nil"/>
        </w:pBdr>
        <w:shd w:fill="auto" w:val="clear"/>
        <w:spacing w:after="60" w:before="60" w:line="276" w:lineRule="auto"/>
        <w:ind w:left="426" w:right="0" w:hanging="360"/>
        <w:jc w:val="both"/>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da imprese bancarie o assicurative che rispondono ai requisiti di solvibilità previsti dalle leggi che ne disciplinano le rispettive attività;</w:t>
      </w:r>
      <w:r w:rsidDel="00000000" w:rsidR="00000000" w:rsidRPr="00000000">
        <w:rPr>
          <w:rtl w:val="0"/>
        </w:rPr>
      </w:r>
    </w:p>
    <w:p w:rsidR="00000000" w:rsidDel="00000000" w:rsidP="00000000" w:rsidRDefault="00000000" w:rsidRPr="00000000" w14:paraId="000001C8">
      <w:pPr>
        <w:keepNext w:val="0"/>
        <w:keepLines w:val="0"/>
        <w:pageBreakBefore w:val="0"/>
        <w:widowControl w:val="1"/>
        <w:numPr>
          <w:ilvl w:val="1"/>
          <w:numId w:val="35"/>
        </w:numPr>
        <w:pBdr>
          <w:top w:space="0" w:sz="0" w:val="nil"/>
          <w:left w:space="0" w:sz="0" w:val="nil"/>
          <w:bottom w:space="0" w:sz="0" w:val="nil"/>
          <w:right w:space="0" w:sz="0" w:val="nil"/>
          <w:between w:space="0" w:sz="0" w:val="nil"/>
        </w:pBdr>
        <w:shd w:fill="auto" w:val="clear"/>
        <w:spacing w:after="60" w:before="60" w:line="276" w:lineRule="auto"/>
        <w:ind w:left="426" w:right="0" w:hanging="360"/>
        <w:jc w:val="both"/>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da un intermediario finanziario iscritto nell'albo di cui all'</w:t>
      </w:r>
      <w:hyperlink r:id="rId18">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articolo 106 del decreto legislativo 1 settembre 1993, n. 385</w:t>
        </w:r>
      </w:hyperlink>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 che svolge in via esclusiva o prevalente attività di rilascio di garanzie, che è sottoposto a revisione contabile da parte di una società di revisione iscritta nell'albo previsto dall'articolo 161 del decreto legislativo 24 febbraio 1998, n. 58; e che abbia i requisiti minimi di solvibilità richiesti dalla vigente normativa bancaria assicurativa. </w:t>
      </w:r>
      <w:r w:rsidDel="00000000" w:rsidR="00000000" w:rsidRPr="00000000">
        <w:rPr>
          <w:rtl w:val="0"/>
        </w:rPr>
      </w:r>
    </w:p>
    <w:p w:rsidR="00000000" w:rsidDel="00000000" w:rsidP="00000000" w:rsidRDefault="00000000" w:rsidRPr="00000000" w14:paraId="000001C9">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Gli operatori economici, prima di procedere alla sottoscrizione della garanzia, sono tenuti a verificare che il soggetto garante sia in possesso dell’autorizzazione al rilascio di garanzie mediante accesso ai seguenti siti internet:</w:t>
      </w:r>
    </w:p>
    <w:p w:rsidR="00000000" w:rsidDel="00000000" w:rsidP="00000000" w:rsidRDefault="00000000" w:rsidRPr="00000000" w14:paraId="000001CA">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both"/>
        <w:rPr>
          <w:rFonts w:ascii="Titillium" w:cs="Titillium" w:eastAsia="Titillium" w:hAnsi="Titillium"/>
          <w:b w:val="0"/>
          <w:i w:val="0"/>
          <w:smallCaps w:val="0"/>
          <w:strike w:val="0"/>
          <w:color w:val="000000"/>
          <w:sz w:val="18"/>
          <w:szCs w:val="18"/>
          <w:u w:val="none"/>
          <w:shd w:fill="auto" w:val="clear"/>
          <w:vertAlign w:val="baseline"/>
        </w:rPr>
      </w:pPr>
      <w:hyperlink r:id="rId19">
        <w:r w:rsidDel="00000000" w:rsidR="00000000" w:rsidRPr="00000000">
          <w:rPr>
            <w:rFonts w:ascii="Titillium" w:cs="Titillium" w:eastAsia="Titillium" w:hAnsi="Titillium"/>
            <w:b w:val="0"/>
            <w:i w:val="0"/>
            <w:smallCaps w:val="0"/>
            <w:strike w:val="0"/>
            <w:color w:val="0563c1"/>
            <w:sz w:val="18"/>
            <w:szCs w:val="18"/>
            <w:u w:val="single"/>
            <w:shd w:fill="auto" w:val="clear"/>
            <w:vertAlign w:val="baseline"/>
            <w:rtl w:val="0"/>
          </w:rPr>
          <w:t xml:space="preserve">http://www.bancaditalia.it/compiti/vigilanza/intermediari/index.html</w:t>
        </w:r>
      </w:hyperlink>
      <w:r w:rsidDel="00000000" w:rsidR="00000000" w:rsidRPr="00000000">
        <w:rPr>
          <w:rtl w:val="0"/>
        </w:rPr>
      </w:r>
    </w:p>
    <w:p w:rsidR="00000000" w:rsidDel="00000000" w:rsidP="00000000" w:rsidRDefault="00000000" w:rsidRPr="00000000" w14:paraId="000001CB">
      <w:pPr>
        <w:spacing w:after="60" w:before="60" w:lineRule="auto"/>
        <w:rPr>
          <w:rFonts w:ascii="Titillium" w:cs="Titillium" w:eastAsia="Titillium" w:hAnsi="Titillium"/>
          <w:sz w:val="18"/>
          <w:szCs w:val="18"/>
        </w:rPr>
      </w:pPr>
      <w:hyperlink r:id="rId20">
        <w:r w:rsidDel="00000000" w:rsidR="00000000" w:rsidRPr="00000000">
          <w:rPr>
            <w:rFonts w:ascii="Titillium" w:cs="Titillium" w:eastAsia="Titillium" w:hAnsi="Titillium"/>
            <w:color w:val="0563c1"/>
            <w:sz w:val="18"/>
            <w:szCs w:val="18"/>
            <w:u w:val="single"/>
            <w:rtl w:val="0"/>
          </w:rPr>
          <w:t xml:space="preserve">http://www.bancaditalia.it/compiti/vigilanza/avvisi-pub/garanzie-finanziarie/</w:t>
        </w:r>
      </w:hyperlink>
      <w:r w:rsidDel="00000000" w:rsidR="00000000" w:rsidRPr="00000000">
        <w:rPr>
          <w:rtl w:val="0"/>
        </w:rPr>
      </w:r>
    </w:p>
    <w:p w:rsidR="00000000" w:rsidDel="00000000" w:rsidP="00000000" w:rsidRDefault="00000000" w:rsidRPr="00000000" w14:paraId="000001C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both"/>
        <w:rPr>
          <w:rFonts w:ascii="Titillium" w:cs="Titillium" w:eastAsia="Titillium" w:hAnsi="Titillium"/>
          <w:sz w:val="18"/>
          <w:szCs w:val="18"/>
        </w:rPr>
      </w:pPr>
      <w:hyperlink r:id="rId21">
        <w:r w:rsidDel="00000000" w:rsidR="00000000" w:rsidRPr="00000000">
          <w:rPr>
            <w:rFonts w:ascii="Titillium" w:cs="Titillium" w:eastAsia="Titillium" w:hAnsi="Titillium"/>
            <w:b w:val="0"/>
            <w:i w:val="0"/>
            <w:smallCaps w:val="0"/>
            <w:strike w:val="0"/>
            <w:color w:val="0563c1"/>
            <w:sz w:val="18"/>
            <w:szCs w:val="18"/>
            <w:u w:val="single"/>
            <w:shd w:fill="auto" w:val="clear"/>
            <w:vertAlign w:val="baseline"/>
            <w:rtl w:val="0"/>
          </w:rPr>
          <w:t xml:space="preserve">http://www.ivass.it/ivass/imprese_jsp/HomePage.jsp</w:t>
        </w:r>
      </w:hyperlink>
      <w:r w:rsidDel="00000000" w:rsidR="00000000" w:rsidRPr="00000000">
        <w:rPr>
          <w:rtl w:val="0"/>
        </w:rPr>
      </w:r>
    </w:p>
    <w:p w:rsidR="00000000" w:rsidDel="00000000" w:rsidP="00000000" w:rsidRDefault="00000000" w:rsidRPr="00000000" w14:paraId="000001CD">
      <w:pPr>
        <w:spacing w:after="60" w:before="60" w:lineRule="auto"/>
        <w:ind w:left="0" w:firstLine="0"/>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garanzia fideiussoria deve essere emessa e firmata digitalmente da un soggetto in possesso dei poteri necessari per impegnare il garante. </w:t>
      </w:r>
    </w:p>
    <w:p w:rsidR="00000000" w:rsidDel="00000000" w:rsidP="00000000" w:rsidRDefault="00000000" w:rsidRPr="00000000" w14:paraId="000001CE">
      <w:pPr>
        <w:spacing w:after="60" w:before="60" w:lineRule="auto"/>
        <w:ind w:left="66" w:firstLine="0"/>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L’operatore economico presenta una garanzia fideiussoria verificabile telematicamente presso l’emittente, indicando nella domanda il sito internet presso il quale è possibile verificare la garanzia.  </w:t>
      </w:r>
    </w:p>
    <w:p w:rsidR="00000000" w:rsidDel="00000000" w:rsidP="00000000" w:rsidRDefault="00000000" w:rsidRPr="00000000" w14:paraId="000001CF">
      <w:pPr>
        <w:spacing w:after="60" w:before="60" w:lineRule="auto"/>
        <w:rPr/>
      </w:pPr>
      <w:r w:rsidDel="00000000" w:rsidR="00000000" w:rsidRPr="00000000">
        <w:rPr>
          <w:rFonts w:ascii="Titillium" w:cs="Titillium" w:eastAsia="Titillium" w:hAnsi="Titillium"/>
          <w:sz w:val="18"/>
          <w:szCs w:val="18"/>
          <w:rtl w:val="0"/>
        </w:rPr>
        <w:t xml:space="preserve">La fideiussione deve:</w:t>
      </w:r>
      <w:r w:rsidDel="00000000" w:rsidR="00000000" w:rsidRPr="00000000">
        <w:rPr>
          <w:rtl w:val="0"/>
        </w:rPr>
      </w:r>
    </w:p>
    <w:p w:rsidR="00000000" w:rsidDel="00000000" w:rsidP="00000000" w:rsidRDefault="00000000" w:rsidRPr="00000000" w14:paraId="000001D0">
      <w:pPr>
        <w:numPr>
          <w:ilvl w:val="2"/>
          <w:numId w:val="5"/>
        </w:numPr>
        <w:spacing w:after="60" w:before="60" w:lineRule="auto"/>
        <w:ind w:left="284" w:hanging="284"/>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contenere espressa menzione dell’oggetto del contratto di appalto e del soggetto garantito (stazione appaltante);</w:t>
      </w:r>
    </w:p>
    <w:p w:rsidR="00000000" w:rsidDel="00000000" w:rsidP="00000000" w:rsidRDefault="00000000" w:rsidRPr="00000000" w14:paraId="000001D1">
      <w:pPr>
        <w:numPr>
          <w:ilvl w:val="2"/>
          <w:numId w:val="5"/>
        </w:numPr>
        <w:spacing w:after="60" w:before="60" w:lineRule="auto"/>
        <w:ind w:left="284" w:hanging="284"/>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essere intestata a tutti gli operatori economici del costituito/costituendo raggruppamento temporaneo o consorzio ordinario o GEIE, ovvero a tutte le imprese retiste che partecipano alla gara ovvero, in caso di consorzi di cui all’articolo 65, comma 2 lettere b), c), d) del Codice, al solo consorzio;</w:t>
      </w:r>
    </w:p>
    <w:p w:rsidR="00000000" w:rsidDel="00000000" w:rsidP="00000000" w:rsidRDefault="00000000" w:rsidRPr="00000000" w14:paraId="000001D2">
      <w:pPr>
        <w:numPr>
          <w:ilvl w:val="2"/>
          <w:numId w:val="5"/>
        </w:numPr>
        <w:spacing w:after="60" w:before="60" w:lineRule="auto"/>
        <w:ind w:left="284" w:hanging="284"/>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essere conforme allo schema tipo approvato con decreto del Ministro dello sviluppo economico del 16 settembre 2022 n. 193;</w:t>
      </w:r>
    </w:p>
    <w:p w:rsidR="00000000" w:rsidDel="00000000" w:rsidP="00000000" w:rsidRDefault="00000000" w:rsidRPr="00000000" w14:paraId="000001D3">
      <w:pPr>
        <w:numPr>
          <w:ilvl w:val="2"/>
          <w:numId w:val="5"/>
        </w:numPr>
        <w:spacing w:after="60" w:before="60" w:lineRule="auto"/>
        <w:ind w:left="284" w:hanging="284"/>
        <w:rPr/>
      </w:pPr>
      <w:r w:rsidDel="00000000" w:rsidR="00000000" w:rsidRPr="00000000">
        <w:rPr>
          <w:rFonts w:ascii="Titillium" w:cs="Titillium" w:eastAsia="Titillium" w:hAnsi="Titillium"/>
          <w:sz w:val="18"/>
          <w:szCs w:val="18"/>
          <w:rtl w:val="0"/>
        </w:rPr>
        <w:t xml:space="preserve">avere validità per 180 giorni</w:t>
      </w:r>
      <w:r w:rsidDel="00000000" w:rsidR="00000000" w:rsidRPr="00000000">
        <w:rPr>
          <w:rFonts w:ascii="Titillium" w:cs="Titillium" w:eastAsia="Titillium" w:hAnsi="Titillium"/>
          <w:i w:val="1"/>
          <w:sz w:val="18"/>
          <w:szCs w:val="18"/>
          <w:rtl w:val="0"/>
        </w:rPr>
        <w:t xml:space="preserve"> </w:t>
      </w:r>
      <w:r w:rsidDel="00000000" w:rsidR="00000000" w:rsidRPr="00000000">
        <w:rPr>
          <w:rFonts w:ascii="Titillium" w:cs="Titillium" w:eastAsia="Titillium" w:hAnsi="Titillium"/>
          <w:sz w:val="18"/>
          <w:szCs w:val="18"/>
          <w:rtl w:val="0"/>
        </w:rPr>
        <w:t xml:space="preserve">dalla data di presentazione dell’offerta; </w:t>
      </w:r>
      <w:r w:rsidDel="00000000" w:rsidR="00000000" w:rsidRPr="00000000">
        <w:rPr>
          <w:rtl w:val="0"/>
        </w:rPr>
      </w:r>
    </w:p>
    <w:p w:rsidR="00000000" w:rsidDel="00000000" w:rsidP="00000000" w:rsidRDefault="00000000" w:rsidRPr="00000000" w14:paraId="000001D4">
      <w:pPr>
        <w:numPr>
          <w:ilvl w:val="2"/>
          <w:numId w:val="5"/>
        </w:numPr>
        <w:spacing w:after="60" w:before="60" w:lineRule="auto"/>
        <w:ind w:left="284" w:hanging="284"/>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prevedere espressamente: </w:t>
      </w:r>
    </w:p>
    <w:p w:rsidR="00000000" w:rsidDel="00000000" w:rsidP="00000000" w:rsidRDefault="00000000" w:rsidRPr="00000000" w14:paraId="000001D5">
      <w:pPr>
        <w:numPr>
          <w:ilvl w:val="3"/>
          <w:numId w:val="5"/>
        </w:numPr>
        <w:spacing w:after="60" w:before="60" w:lineRule="auto"/>
        <w:ind w:left="709" w:hanging="425"/>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rinuncia al beneficio della preventiva escussione del debitore principale di cui all’articolo 1944 del Codice civile; </w:t>
      </w:r>
    </w:p>
    <w:p w:rsidR="00000000" w:rsidDel="00000000" w:rsidP="00000000" w:rsidRDefault="00000000" w:rsidRPr="00000000" w14:paraId="000001D6">
      <w:pPr>
        <w:numPr>
          <w:ilvl w:val="3"/>
          <w:numId w:val="5"/>
        </w:numPr>
        <w:spacing w:after="60" w:before="60" w:lineRule="auto"/>
        <w:ind w:left="709" w:hanging="425"/>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rinuncia ad eccepire la decorrenza dei termini di cui all’articolo 1957, secondo comma, del Codice civile; </w:t>
      </w:r>
    </w:p>
    <w:p w:rsidR="00000000" w:rsidDel="00000000" w:rsidP="00000000" w:rsidRDefault="00000000" w:rsidRPr="00000000" w14:paraId="000001D7">
      <w:pPr>
        <w:numPr>
          <w:ilvl w:val="3"/>
          <w:numId w:val="5"/>
        </w:numPr>
        <w:spacing w:after="60" w:before="60" w:lineRule="auto"/>
        <w:ind w:left="709" w:hanging="425"/>
        <w:rPr/>
      </w:pPr>
      <w:r w:rsidDel="00000000" w:rsidR="00000000" w:rsidRPr="00000000">
        <w:rPr>
          <w:rFonts w:ascii="Titillium" w:cs="Titillium" w:eastAsia="Titillium" w:hAnsi="Titillium"/>
          <w:sz w:val="18"/>
          <w:szCs w:val="18"/>
          <w:rtl w:val="0"/>
        </w:rPr>
        <w:t xml:space="preserve">l’operatività della stessa entro quindici giorni a semplice richiesta scritta della stazione appaltante. </w:t>
      </w:r>
      <w:r w:rsidDel="00000000" w:rsidR="00000000" w:rsidRPr="00000000">
        <w:rPr>
          <w:rtl w:val="0"/>
        </w:rPr>
      </w:r>
    </w:p>
    <w:p w:rsidR="00000000" w:rsidDel="00000000" w:rsidP="00000000" w:rsidRDefault="00000000" w:rsidRPr="00000000" w14:paraId="000001D8">
      <w:pPr>
        <w:spacing w:after="60" w:before="12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In caso di richiesta di estensione della durata e validità dell’offerta e della garanzia fideiussoria, il concorrente </w:t>
      </w:r>
      <w:r w:rsidDel="00000000" w:rsidR="00000000" w:rsidRPr="00000000">
        <w:rPr>
          <w:rFonts w:ascii="Titillium" w:cs="Titillium" w:eastAsia="Titillium" w:hAnsi="Titillium"/>
          <w:color w:val="000000"/>
          <w:sz w:val="18"/>
          <w:szCs w:val="18"/>
          <w:rtl w:val="0"/>
        </w:rPr>
        <w:t xml:space="preserve">potrà produrre </w:t>
      </w:r>
      <w:r w:rsidDel="00000000" w:rsidR="00000000" w:rsidRPr="00000000">
        <w:rPr>
          <w:rFonts w:ascii="Titillium" w:cs="Titillium" w:eastAsia="Titillium" w:hAnsi="Titillium"/>
          <w:sz w:val="18"/>
          <w:szCs w:val="18"/>
          <w:rtl w:val="0"/>
        </w:rPr>
        <w:t xml:space="preserve">nelle medesime forme di cui sopra una nuova garanzia provvisoria del medesimo o di altro garante, in sostituzione della precedente, a condizione che abbia espressa decorrenza dalla data di presentazione dell’offerta.</w:t>
      </w:r>
      <w:r w:rsidDel="00000000" w:rsidR="00000000" w:rsidRPr="00000000">
        <w:rPr>
          <w:rtl w:val="0"/>
        </w:rPr>
        <w:br w:type="textWrapping"/>
      </w:r>
      <w:r w:rsidDel="00000000" w:rsidR="00000000" w:rsidRPr="00000000">
        <w:rPr>
          <w:rFonts w:ascii="Titillium" w:cs="Titillium" w:eastAsia="Titillium" w:hAnsi="Titillium"/>
          <w:sz w:val="18"/>
          <w:szCs w:val="18"/>
          <w:rtl w:val="0"/>
        </w:rPr>
        <w:t xml:space="preserve">Ai sensi dell’art. 106, comma 8, del Codice l’importo della garanzia è ridotto nei termini di seguito indicati.</w:t>
      </w:r>
    </w:p>
    <w:p w:rsidR="00000000" w:rsidDel="00000000" w:rsidP="00000000" w:rsidRDefault="00000000" w:rsidRPr="00000000" w14:paraId="000001D9">
      <w:pPr>
        <w:keepNext w:val="0"/>
        <w:keepLines w:val="0"/>
        <w:pageBreakBefore w:val="0"/>
        <w:widowControl w:val="1"/>
        <w:numPr>
          <w:ilvl w:val="1"/>
          <w:numId w:val="9"/>
        </w:numPr>
        <w:pBdr>
          <w:top w:space="0" w:sz="0" w:val="nil"/>
          <w:left w:space="0" w:sz="0" w:val="nil"/>
          <w:bottom w:space="0" w:sz="0" w:val="nil"/>
          <w:right w:space="0" w:sz="0" w:val="nil"/>
          <w:between w:space="0" w:sz="0" w:val="nil"/>
        </w:pBdr>
        <w:shd w:fill="auto" w:val="clear"/>
        <w:spacing w:after="60" w:before="60" w:line="276" w:lineRule="auto"/>
        <w:ind w:left="284"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Riduzione del 30% in caso di possesso della certificazione di qualità conforme alle norme europee della serie UNI CEI ISO 9000. In caso di partecipazione in forma associata, la riduzione si ottiene:</w:t>
      </w:r>
    </w:p>
    <w:p w:rsidR="00000000" w:rsidDel="00000000" w:rsidP="00000000" w:rsidRDefault="00000000" w:rsidRPr="00000000" w14:paraId="000001DA">
      <w:pPr>
        <w:keepNext w:val="0"/>
        <w:keepLines w:val="0"/>
        <w:pageBreakBefore w:val="0"/>
        <w:widowControl w:val="1"/>
        <w:numPr>
          <w:ilvl w:val="1"/>
          <w:numId w:val="20"/>
        </w:numPr>
        <w:pBdr>
          <w:top w:space="0" w:sz="0" w:val="nil"/>
          <w:left w:space="0" w:sz="0" w:val="nil"/>
          <w:bottom w:space="0" w:sz="0" w:val="nil"/>
          <w:right w:space="0" w:sz="0" w:val="nil"/>
          <w:between w:space="0" w:sz="0" w:val="nil"/>
        </w:pBdr>
        <w:shd w:fill="auto" w:val="clear"/>
        <w:spacing w:after="60" w:before="60" w:line="276" w:lineRule="auto"/>
        <w:ind w:left="567" w:right="0" w:hanging="284"/>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per i soggetti di cui all’articolo 65, comma 2, lettere e), f), g), h) del Codice solo se tutti soggetti che costituiscono il raggruppamento, consorzio ordinario o GEIE, o tutte le imprese retiste che partecipano alla gara siano in possesso della certificazione;</w:t>
      </w:r>
    </w:p>
    <w:p w:rsidR="00000000" w:rsidDel="00000000" w:rsidP="00000000" w:rsidRDefault="00000000" w:rsidRPr="00000000" w14:paraId="000001DB">
      <w:pPr>
        <w:keepNext w:val="0"/>
        <w:keepLines w:val="0"/>
        <w:pageBreakBefore w:val="0"/>
        <w:widowControl w:val="1"/>
        <w:numPr>
          <w:ilvl w:val="1"/>
          <w:numId w:val="20"/>
        </w:numPr>
        <w:pBdr>
          <w:top w:space="0" w:sz="0" w:val="nil"/>
          <w:left w:space="0" w:sz="0" w:val="nil"/>
          <w:bottom w:space="0" w:sz="0" w:val="nil"/>
          <w:right w:space="0" w:sz="0" w:val="nil"/>
          <w:between w:space="0" w:sz="0" w:val="nil"/>
        </w:pBdr>
        <w:shd w:fill="auto" w:val="clear"/>
        <w:spacing w:after="60" w:before="60" w:line="276" w:lineRule="auto"/>
        <w:ind w:left="567" w:right="0" w:hanging="284"/>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per i consorzi di cui all’articolo 65, comma 2, lettere b), c), d) del Codice, se il Consorzio ha dichiarato in fase di offerta che intende eseguire con risorse proprie, solo se il Consorzio possiede la predetta certificazione;  se  il Consorzio ha indicato in fase di offerta che intende assegnare parte delle prestazioni a una o più consorziate individuate nell’offerta, solo se sia il Consorzio sia la consorziata designata posseggono la predetta certificazione, o in alternativa,</w:t>
      </w:r>
      <w:r w:rsidDel="00000000" w:rsidR="00000000" w:rsidRPr="00000000">
        <w:rPr>
          <w:rFonts w:ascii="Titillium" w:cs="Titillium" w:eastAsia="Titillium" w:hAnsi="Titillium"/>
          <w:b w:val="0"/>
          <w:i w:val="1"/>
          <w:smallCaps w:val="0"/>
          <w:strike w:val="0"/>
          <w:color w:val="000000"/>
          <w:sz w:val="18"/>
          <w:szCs w:val="18"/>
          <w:u w:val="none"/>
          <w:shd w:fill="auto" w:val="clear"/>
          <w:vertAlign w:val="baseline"/>
          <w:rtl w:val="0"/>
        </w:rPr>
        <w:t xml:space="preserve"> </w:t>
      </w: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se il solo Consorzio possiede la predetta certificazione e l’ambito di certificazione del suo sistema gestionale include la verifica che l’erogazione della prestazione da parte della consorziata rispetti gli standard fissati dalla certificazione. </w:t>
      </w:r>
    </w:p>
    <w:p w:rsidR="00000000" w:rsidDel="00000000" w:rsidP="00000000" w:rsidRDefault="00000000" w:rsidRPr="00000000" w14:paraId="000001DC">
      <w:pPr>
        <w:keepNext w:val="0"/>
        <w:keepLines w:val="0"/>
        <w:pageBreakBefore w:val="0"/>
        <w:widowControl w:val="1"/>
        <w:numPr>
          <w:ilvl w:val="1"/>
          <w:numId w:val="9"/>
        </w:numPr>
        <w:pBdr>
          <w:top w:space="0" w:sz="0" w:val="nil"/>
          <w:left w:space="0" w:sz="0" w:val="nil"/>
          <w:bottom w:space="0" w:sz="0" w:val="nil"/>
          <w:right w:space="0" w:sz="0" w:val="nil"/>
          <w:between w:space="0" w:sz="0" w:val="nil"/>
        </w:pBdr>
        <w:shd w:fill="auto" w:val="clear"/>
        <w:spacing w:after="60" w:before="60" w:line="276" w:lineRule="auto"/>
        <w:ind w:left="284"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Riduzione del 50% in caso di partecipazione di micro, piccole e medie imprese e di raggruppamenti di operatori economici o consorzi ordinari costituiti esclusivamente da micro, piccole e medie imprese. Tale riduzione non è cumulabile con quella indicata alla lett. a).</w:t>
      </w:r>
    </w:p>
    <w:p w:rsidR="00000000" w:rsidDel="00000000" w:rsidP="00000000" w:rsidRDefault="00000000" w:rsidRPr="00000000" w14:paraId="000001DD">
      <w:pPr>
        <w:keepNext w:val="0"/>
        <w:keepLines w:val="0"/>
        <w:pageBreakBefore w:val="0"/>
        <w:widowControl w:val="1"/>
        <w:numPr>
          <w:ilvl w:val="1"/>
          <w:numId w:val="9"/>
        </w:numPr>
        <w:pBdr>
          <w:top w:space="0" w:sz="0" w:val="nil"/>
          <w:left w:space="0" w:sz="0" w:val="nil"/>
          <w:bottom w:space="0" w:sz="0" w:val="nil"/>
          <w:right w:space="0" w:sz="0" w:val="nil"/>
          <w:between w:space="0" w:sz="0" w:val="nil"/>
        </w:pBdr>
        <w:shd w:fill="auto" w:val="clear"/>
        <w:spacing w:after="60" w:before="60" w:line="276" w:lineRule="auto"/>
        <w:ind w:left="284"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Riduzione fino ad un massimo del </w:t>
      </w:r>
      <w:r w:rsidDel="00000000" w:rsidR="00000000" w:rsidRPr="00000000">
        <w:rPr>
          <w:rFonts w:ascii="Titillium" w:cs="Titillium" w:eastAsia="Titillium" w:hAnsi="Titillium"/>
          <w:sz w:val="18"/>
          <w:szCs w:val="18"/>
          <w:rtl w:val="0"/>
        </w:rPr>
        <w:t xml:space="preserve">20%</w:t>
      </w:r>
      <w:r w:rsidDel="00000000" w:rsidR="00000000" w:rsidRPr="00000000">
        <w:rPr>
          <w:rFonts w:ascii="Titillium" w:cs="Titillium" w:eastAsia="Titillium" w:hAnsi="Titillium"/>
          <w:b w:val="0"/>
          <w:i w:val="0"/>
          <w:smallCaps w:val="0"/>
          <w:strike w:val="0"/>
          <w:color w:val="000000"/>
          <w:sz w:val="18"/>
          <w:szCs w:val="18"/>
          <w:highlight w:val="white"/>
          <w:u w:val="none"/>
          <w:vertAlign w:val="baseline"/>
          <w:rtl w:val="0"/>
        </w:rPr>
        <w:t xml:space="preserve"> in caso di possesso di una </w:t>
      </w:r>
      <w:r w:rsidDel="00000000" w:rsidR="00000000" w:rsidRPr="00000000">
        <w:rPr>
          <w:rFonts w:ascii="Titillium" w:cs="Titillium" w:eastAsia="Titillium" w:hAnsi="Titillium"/>
          <w:sz w:val="18"/>
          <w:szCs w:val="18"/>
          <w:highlight w:val="white"/>
          <w:rtl w:val="0"/>
        </w:rPr>
        <w:t xml:space="preserve"> </w:t>
      </w:r>
      <w:r w:rsidDel="00000000" w:rsidR="00000000" w:rsidRPr="00000000">
        <w:rPr>
          <w:rFonts w:ascii="Titillium" w:cs="Titillium" w:eastAsia="Titillium" w:hAnsi="Titillium"/>
          <w:b w:val="0"/>
          <w:i w:val="0"/>
          <w:smallCaps w:val="0"/>
          <w:strike w:val="0"/>
          <w:color w:val="000000"/>
          <w:sz w:val="18"/>
          <w:szCs w:val="18"/>
          <w:highlight w:val="white"/>
          <w:u w:val="none"/>
          <w:vertAlign w:val="baseline"/>
          <w:rtl w:val="0"/>
        </w:rPr>
        <w:t xml:space="preserve"> delle seguenti certificazioni/march</w:t>
      </w:r>
      <w:r w:rsidDel="00000000" w:rsidR="00000000" w:rsidRPr="00000000">
        <w:rPr>
          <w:rFonts w:ascii="Titillium" w:cs="Titillium" w:eastAsia="Titillium" w:hAnsi="Titillium"/>
          <w:b w:val="0"/>
          <w:i w:val="0"/>
          <w:smallCaps w:val="0"/>
          <w:strike w:val="0"/>
          <w:color w:val="000000"/>
          <w:sz w:val="18"/>
          <w:szCs w:val="18"/>
          <w:highlight w:val="white"/>
          <w:u w:val="none"/>
          <w:vertAlign w:val="baseline"/>
          <w:rtl w:val="0"/>
        </w:rPr>
        <w:t xml:space="preserve">i:  UNI EN ISO 14001 </w:t>
      </w:r>
      <w:r w:rsidDel="00000000" w:rsidR="00000000" w:rsidRPr="00000000">
        <w:rPr>
          <w:rFonts w:ascii="Titillium" w:cs="Titillium" w:eastAsia="Titillium" w:hAnsi="Titillium"/>
          <w:sz w:val="18"/>
          <w:szCs w:val="18"/>
          <w:highlight w:val="white"/>
          <w:rtl w:val="0"/>
        </w:rPr>
        <w:t xml:space="preserve">o </w:t>
      </w:r>
      <w:r w:rsidDel="00000000" w:rsidR="00000000" w:rsidRPr="00000000">
        <w:rPr>
          <w:rFonts w:ascii="Titillium" w:cs="Titillium" w:eastAsia="Titillium" w:hAnsi="Titillium"/>
          <w:sz w:val="18"/>
          <w:szCs w:val="18"/>
          <w:rtl w:val="0"/>
        </w:rPr>
        <w:t xml:space="preserve">EMAS.</w:t>
      </w:r>
      <w:r w:rsidDel="00000000" w:rsidR="00000000" w:rsidRPr="00000000">
        <w:rPr>
          <w:rtl w:val="0"/>
        </w:rPr>
      </w:r>
    </w:p>
    <w:p w:rsidR="00000000" w:rsidDel="00000000" w:rsidP="00000000" w:rsidRDefault="00000000" w:rsidRPr="00000000" w14:paraId="000001D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Tale riduzione è cumulabile con quelle indicate alle lett. a) e b). In caso di partecipazione in forma associata la riduzione si ottiene:</w:t>
      </w:r>
    </w:p>
    <w:p w:rsidR="00000000" w:rsidDel="00000000" w:rsidP="00000000" w:rsidRDefault="00000000" w:rsidRPr="00000000" w14:paraId="000001DF">
      <w:pPr>
        <w:keepNext w:val="0"/>
        <w:keepLines w:val="0"/>
        <w:pageBreakBefore w:val="0"/>
        <w:widowControl w:val="1"/>
        <w:numPr>
          <w:ilvl w:val="1"/>
          <w:numId w:val="20"/>
        </w:numPr>
        <w:pBdr>
          <w:top w:space="0" w:sz="0" w:val="nil"/>
          <w:left w:space="0" w:sz="0" w:val="nil"/>
          <w:bottom w:space="0" w:sz="0" w:val="nil"/>
          <w:right w:space="0" w:sz="0" w:val="nil"/>
          <w:between w:space="0" w:sz="0" w:val="nil"/>
        </w:pBdr>
        <w:shd w:fill="auto" w:val="clear"/>
        <w:spacing w:after="60" w:before="60" w:line="276" w:lineRule="auto"/>
        <w:ind w:left="567" w:right="0" w:hanging="284"/>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per i soggetti di cui all’articolo 65, comma 2, lettere e), f), g), h) del Codice se uno dei soggetti che costituiscono il raggruppamento, consorzio ordinario o GEIE, o una delle imprese retiste che partecipano alla gara sia in possesso della certificazione;</w:t>
      </w:r>
    </w:p>
    <w:p w:rsidR="00000000" w:rsidDel="00000000" w:rsidP="00000000" w:rsidRDefault="00000000" w:rsidRPr="00000000" w14:paraId="000001E0">
      <w:pPr>
        <w:keepNext w:val="0"/>
        <w:keepLines w:val="0"/>
        <w:pageBreakBefore w:val="0"/>
        <w:widowControl w:val="1"/>
        <w:numPr>
          <w:ilvl w:val="1"/>
          <w:numId w:val="20"/>
        </w:numPr>
        <w:pBdr>
          <w:top w:space="0" w:sz="0" w:val="nil"/>
          <w:left w:space="0" w:sz="0" w:val="nil"/>
          <w:bottom w:space="0" w:sz="0" w:val="nil"/>
          <w:right w:space="0" w:sz="0" w:val="nil"/>
          <w:between w:space="0" w:sz="0" w:val="nil"/>
        </w:pBdr>
        <w:shd w:fill="auto" w:val="clear"/>
        <w:spacing w:after="60" w:before="60" w:line="276" w:lineRule="auto"/>
        <w:ind w:left="567" w:right="0" w:hanging="284"/>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per i consorzi di cui all’articolo 65, comma 2, lettere b), c), d) del Codice se il consorzio o una delle consorziate sia in possesso della certificazione; </w:t>
      </w:r>
    </w:p>
    <w:p w:rsidR="00000000" w:rsidDel="00000000" w:rsidP="00000000" w:rsidRDefault="00000000" w:rsidRPr="00000000" w14:paraId="000001E1">
      <w:pPr>
        <w:spacing w:after="60" w:before="60" w:lineRule="auto"/>
        <w:rPr/>
      </w:pPr>
      <w:r w:rsidDel="00000000" w:rsidR="00000000" w:rsidRPr="00000000">
        <w:rPr>
          <w:rFonts w:ascii="Titillium" w:cs="Titillium" w:eastAsia="Titillium" w:hAnsi="Titillium"/>
          <w:sz w:val="18"/>
          <w:szCs w:val="18"/>
          <w:rtl w:val="0"/>
        </w:rPr>
        <w:t xml:space="preserve">Per fruire delle riduzioni di cui all’articolo 106, comma 8 del Codice, il concorrente dichiara nella domanda di partecipazione il possesso delle certificazioni e inserisce copia delle certificazioni possedute qualora non già presenti nel fascicolo virtuale.</w:t>
      </w:r>
      <w:r w:rsidDel="00000000" w:rsidR="00000000" w:rsidRPr="00000000">
        <w:rPr>
          <w:rtl w:val="0"/>
        </w:rPr>
      </w:r>
    </w:p>
    <w:p w:rsidR="00000000" w:rsidDel="00000000" w:rsidP="00000000" w:rsidRDefault="00000000" w:rsidRPr="00000000" w14:paraId="000001E2">
      <w:pPr>
        <w:spacing w:after="60" w:before="60" w:lineRule="auto"/>
        <w:rPr/>
      </w:pPr>
      <w:r w:rsidDel="00000000" w:rsidR="00000000" w:rsidRPr="00000000">
        <w:rPr>
          <w:rFonts w:ascii="Titillium" w:cs="Titillium" w:eastAsia="Titillium" w:hAnsi="Titillium"/>
          <w:sz w:val="18"/>
          <w:szCs w:val="18"/>
          <w:rtl w:val="0"/>
        </w:rPr>
        <w:t xml:space="preserve">È sanabile, mediante soccorso istruttorio, la mancata presentazione della garanzia provvisoria solo a condizione che sia stata già costituita prima della presentazione dell’offerta. </w:t>
      </w:r>
      <w:r w:rsidDel="00000000" w:rsidR="00000000" w:rsidRPr="00000000">
        <w:rPr>
          <w:rFonts w:ascii="Calibri" w:cs="Calibri" w:eastAsia="Calibri" w:hAnsi="Calibri"/>
          <w:sz w:val="20"/>
          <w:szCs w:val="20"/>
          <w:rtl w:val="0"/>
        </w:rPr>
        <w:t xml:space="preserve"> </w:t>
      </w:r>
      <w:r w:rsidDel="00000000" w:rsidR="00000000" w:rsidRPr="00000000">
        <w:rPr>
          <w:rtl w:val="0"/>
        </w:rPr>
      </w:r>
    </w:p>
    <w:p w:rsidR="00000000" w:rsidDel="00000000" w:rsidP="00000000" w:rsidRDefault="00000000" w:rsidRPr="00000000" w14:paraId="000001E3">
      <w:pPr>
        <w:spacing w:after="60" w:before="60" w:lineRule="auto"/>
        <w:rPr/>
      </w:pPr>
      <w:r w:rsidDel="00000000" w:rsidR="00000000" w:rsidRPr="00000000">
        <w:rPr>
          <w:rFonts w:ascii="Titillium" w:cs="Titillium" w:eastAsia="Titillium" w:hAnsi="Titillium"/>
          <w:sz w:val="18"/>
          <w:szCs w:val="18"/>
          <w:rtl w:val="0"/>
        </w:rPr>
        <w:t xml:space="preserve">Non è sanabile - e quindi è causa di esclusione - la sottoscrizione della garanzia provvisoria da parte di un soggetto non legittimato a rilasciare la garanzia o non autorizzato ad impegnare il garante. </w:t>
      </w:r>
      <w:r w:rsidDel="00000000" w:rsidR="00000000" w:rsidRPr="00000000">
        <w:rPr>
          <w:rtl w:val="0"/>
        </w:rPr>
      </w:r>
    </w:p>
    <w:p w:rsidR="00000000" w:rsidDel="00000000" w:rsidP="00000000" w:rsidRDefault="00000000" w:rsidRPr="00000000" w14:paraId="000001E4">
      <w:pPr>
        <w:pStyle w:val="Heading1"/>
        <w:rPr/>
      </w:pPr>
      <w:bookmarkStart w:colFirst="0" w:colLast="0" w:name="_28h4qwu" w:id="28"/>
      <w:bookmarkEnd w:id="28"/>
      <w:r w:rsidDel="00000000" w:rsidR="00000000" w:rsidRPr="00000000">
        <w:rPr>
          <w:rtl w:val="0"/>
        </w:rPr>
        <w:t xml:space="preserve">11. SOPRALLUOGO</w:t>
      </w:r>
    </w:p>
    <w:p w:rsidR="00000000" w:rsidDel="00000000" w:rsidP="00000000" w:rsidRDefault="00000000" w:rsidRPr="00000000" w14:paraId="000001E5">
      <w:pPr>
        <w:spacing w:after="60" w:before="60" w:lineRule="auto"/>
        <w:rPr/>
      </w:pPr>
      <w:r w:rsidDel="00000000" w:rsidR="00000000" w:rsidRPr="00000000">
        <w:rPr>
          <w:rFonts w:ascii="Titillium" w:cs="Titillium" w:eastAsia="Titillium" w:hAnsi="Titillium"/>
          <w:sz w:val="18"/>
          <w:szCs w:val="18"/>
          <w:rtl w:val="0"/>
        </w:rPr>
        <w:t xml:space="preserve">Il sopralluogo sulle diverse sedi destinatarie del servizio è facoltativo.</w:t>
      </w:r>
      <w:r w:rsidDel="00000000" w:rsidR="00000000" w:rsidRPr="00000000">
        <w:rPr>
          <w:rtl w:val="0"/>
        </w:rPr>
      </w:r>
    </w:p>
    <w:p w:rsidR="00000000" w:rsidDel="00000000" w:rsidP="00000000" w:rsidRDefault="00000000" w:rsidRPr="00000000" w14:paraId="000001E6">
      <w:pPr>
        <w:spacing w:after="60" w:before="60" w:lineRule="auto"/>
        <w:rPr/>
      </w:pPr>
      <w:r w:rsidDel="00000000" w:rsidR="00000000" w:rsidRPr="00000000">
        <w:rPr>
          <w:rFonts w:ascii="Titillium" w:cs="Titillium" w:eastAsia="Titillium" w:hAnsi="Titillium"/>
          <w:sz w:val="18"/>
          <w:szCs w:val="18"/>
          <w:rtl w:val="0"/>
        </w:rPr>
        <w:t xml:space="preserve">Il sopralluogo è effettuato accedendo di persona nelle aree oggetto di sopralluogo.</w:t>
      </w:r>
      <w:r w:rsidDel="00000000" w:rsidR="00000000" w:rsidRPr="00000000">
        <w:rPr>
          <w:rtl w:val="0"/>
        </w:rPr>
      </w:r>
    </w:p>
    <w:p w:rsidR="00000000" w:rsidDel="00000000" w:rsidP="00000000" w:rsidRDefault="00000000" w:rsidRPr="00000000" w14:paraId="000001E7">
      <w:pPr>
        <w:spacing w:after="60" w:before="60" w:lineRule="auto"/>
        <w:rPr>
          <w:i w:val="1"/>
          <w:highlight w:val="white"/>
        </w:rPr>
      </w:pPr>
      <w:r w:rsidDel="00000000" w:rsidR="00000000" w:rsidRPr="00000000">
        <w:rPr>
          <w:rFonts w:ascii="Titillium" w:cs="Titillium" w:eastAsia="Titillium" w:hAnsi="Titillium"/>
          <w:sz w:val="18"/>
          <w:szCs w:val="18"/>
          <w:rtl w:val="0"/>
        </w:rPr>
        <w:t xml:space="preserve">Il sopralluogo può essere effettuato concordando con il RUP i giorni in cui svolgerlo</w:t>
      </w:r>
      <w:r w:rsidDel="00000000" w:rsidR="00000000" w:rsidRPr="00000000">
        <w:rPr>
          <w:rFonts w:ascii="Titillium" w:cs="Titillium" w:eastAsia="Titillium" w:hAnsi="Titillium"/>
          <w:i w:val="1"/>
          <w:sz w:val="18"/>
          <w:szCs w:val="18"/>
          <w:highlight w:val="white"/>
          <w:rtl w:val="0"/>
        </w:rPr>
        <w:t xml:space="preserve"> . </w:t>
      </w:r>
      <w:r w:rsidDel="00000000" w:rsidR="00000000" w:rsidRPr="00000000">
        <w:rPr>
          <w:rtl w:val="0"/>
        </w:rPr>
      </w:r>
    </w:p>
    <w:p w:rsidR="00000000" w:rsidDel="00000000" w:rsidP="00000000" w:rsidRDefault="00000000" w:rsidRPr="00000000" w14:paraId="000001E8">
      <w:pPr>
        <w:spacing w:after="60" w:before="60" w:lineRule="auto"/>
        <w:rPr/>
      </w:pPr>
      <w:r w:rsidDel="00000000" w:rsidR="00000000" w:rsidRPr="00000000">
        <w:rPr>
          <w:rFonts w:ascii="Titillium" w:cs="Titillium" w:eastAsia="Titillium" w:hAnsi="Titillium"/>
          <w:sz w:val="18"/>
          <w:szCs w:val="18"/>
          <w:rtl w:val="0"/>
        </w:rPr>
        <w:t xml:space="preserve">La richiesta di sopralluogo deve essere presentata entro le ore 13:00 del giorno </w:t>
      </w:r>
      <w:r w:rsidDel="00000000" w:rsidR="00000000" w:rsidRPr="00000000">
        <w:rPr>
          <w:rFonts w:ascii="Titillium" w:cs="Titillium" w:eastAsia="Titillium" w:hAnsi="Titillium"/>
          <w:sz w:val="18"/>
          <w:szCs w:val="18"/>
          <w:highlight w:val="white"/>
          <w:rtl w:val="0"/>
        </w:rPr>
        <w:t xml:space="preserve">27/3/20</w:t>
      </w:r>
      <w:r w:rsidDel="00000000" w:rsidR="00000000" w:rsidRPr="00000000">
        <w:rPr>
          <w:rFonts w:ascii="Titillium" w:cs="Titillium" w:eastAsia="Titillium" w:hAnsi="Titillium"/>
          <w:sz w:val="18"/>
          <w:szCs w:val="18"/>
          <w:rtl w:val="0"/>
        </w:rPr>
        <w:t xml:space="preserve">24</w:t>
      </w:r>
      <w:r w:rsidDel="00000000" w:rsidR="00000000" w:rsidRPr="00000000">
        <w:rPr>
          <w:rFonts w:ascii="Titillium" w:cs="Titillium" w:eastAsia="Titillium" w:hAnsi="Titillium"/>
          <w:i w:val="1"/>
          <w:sz w:val="18"/>
          <w:szCs w:val="18"/>
          <w:rtl w:val="0"/>
        </w:rPr>
        <w:t xml:space="preserve">, </w:t>
      </w:r>
      <w:r w:rsidDel="00000000" w:rsidR="00000000" w:rsidRPr="00000000">
        <w:rPr>
          <w:rFonts w:ascii="Titillium" w:cs="Titillium" w:eastAsia="Titillium" w:hAnsi="Titillium"/>
          <w:sz w:val="18"/>
          <w:szCs w:val="18"/>
          <w:rtl w:val="0"/>
        </w:rPr>
        <w:t xml:space="preserve">tramite la Piattaforma alla</w:t>
      </w:r>
      <w:r w:rsidDel="00000000" w:rsidR="00000000" w:rsidRPr="00000000">
        <w:rPr>
          <w:rFonts w:ascii="Titillium" w:cs="Titillium" w:eastAsia="Titillium" w:hAnsi="Titillium"/>
          <w:i w:val="1"/>
          <w:sz w:val="18"/>
          <w:szCs w:val="18"/>
          <w:rtl w:val="0"/>
        </w:rPr>
        <w:t xml:space="preserve"> </w:t>
      </w:r>
      <w:r w:rsidDel="00000000" w:rsidR="00000000" w:rsidRPr="00000000">
        <w:rPr>
          <w:rFonts w:ascii="Titillium" w:cs="Titillium" w:eastAsia="Titillium" w:hAnsi="Titillium"/>
          <w:sz w:val="18"/>
          <w:szCs w:val="18"/>
          <w:rtl w:val="0"/>
        </w:rPr>
        <w:t xml:space="preserve">Sezione</w:t>
      </w:r>
      <w:r w:rsidDel="00000000" w:rsidR="00000000" w:rsidRPr="00000000">
        <w:rPr>
          <w:rFonts w:ascii="Titillium" w:cs="Titillium" w:eastAsia="Titillium" w:hAnsi="Titillium"/>
          <w:i w:val="1"/>
          <w:sz w:val="18"/>
          <w:szCs w:val="18"/>
          <w:rtl w:val="0"/>
        </w:rPr>
        <w:t xml:space="preserve"> </w:t>
      </w:r>
      <w:r w:rsidDel="00000000" w:rsidR="00000000" w:rsidRPr="00000000">
        <w:rPr>
          <w:rFonts w:ascii="Titillium" w:cs="Titillium" w:eastAsia="Titillium" w:hAnsi="Titillium"/>
          <w:sz w:val="18"/>
          <w:szCs w:val="18"/>
          <w:highlight w:val="white"/>
          <w:rtl w:val="0"/>
        </w:rPr>
        <w:t xml:space="preserve">dedicata alla richiesta di chiarimenti</w:t>
      </w:r>
      <w:r w:rsidDel="00000000" w:rsidR="00000000" w:rsidRPr="00000000">
        <w:rPr>
          <w:rFonts w:ascii="Titillium" w:cs="Titillium" w:eastAsia="Titillium" w:hAnsi="Titillium"/>
          <w:sz w:val="18"/>
          <w:szCs w:val="18"/>
          <w:rtl w:val="0"/>
        </w:rPr>
        <w:t xml:space="preserve"> e deve riportare il nominativo e la qualifica della persona incaricata di effettuare il sopralluogo. </w:t>
      </w:r>
      <w:r w:rsidDel="00000000" w:rsidR="00000000" w:rsidRPr="00000000">
        <w:rPr>
          <w:rtl w:val="0"/>
        </w:rPr>
      </w:r>
    </w:p>
    <w:p w:rsidR="00000000" w:rsidDel="00000000" w:rsidP="00000000" w:rsidRDefault="00000000" w:rsidRPr="00000000" w14:paraId="000001E9">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Data, ora e luogo del sopralluogo sono comunicati ai concorrenti con almeno </w:t>
      </w:r>
      <w:r w:rsidDel="00000000" w:rsidR="00000000" w:rsidRPr="00000000">
        <w:rPr>
          <w:rFonts w:ascii="Titillium" w:cs="Titillium" w:eastAsia="Titillium" w:hAnsi="Titillium"/>
          <w:sz w:val="18"/>
          <w:szCs w:val="18"/>
          <w:highlight w:val="white"/>
          <w:rtl w:val="0"/>
        </w:rPr>
        <w:t xml:space="preserve">due </w:t>
      </w:r>
      <w:r w:rsidDel="00000000" w:rsidR="00000000" w:rsidRPr="00000000">
        <w:rPr>
          <w:rFonts w:ascii="Titillium" w:cs="Titillium" w:eastAsia="Titillium" w:hAnsi="Titillium"/>
          <w:sz w:val="18"/>
          <w:szCs w:val="18"/>
          <w:rtl w:val="0"/>
        </w:rPr>
        <w:t xml:space="preserve">giorni di anticipo. Viene rilasciata l’attestazione di avvenuto svolgimento del sopralluogo.</w:t>
      </w:r>
    </w:p>
    <w:p w:rsidR="00000000" w:rsidDel="00000000" w:rsidP="00000000" w:rsidRDefault="00000000" w:rsidRPr="00000000" w14:paraId="000001EA">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Il sopralluogo può essere effettuato dal rappresentante legale/procuratore/direttore tecnico in possesso del documento di identità, o da soggetto diverso rappresentante dell’operatore economico purché in possesso di apposita delega, del proprio documento di identità e di copia di quello del delegante.</w:t>
      </w:r>
    </w:p>
    <w:p w:rsidR="00000000" w:rsidDel="00000000" w:rsidP="00000000" w:rsidRDefault="00000000" w:rsidRPr="00000000" w14:paraId="000001EB">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Il soggetto delegato ad effettuare il sopralluogo non può ricevere l’incarico da più concorrenti. In tal caso la stazione appaltante non rilascia la relativa attestazione ad alcuno dei soggetti deleganti.</w:t>
      </w:r>
    </w:p>
    <w:p w:rsidR="00000000" w:rsidDel="00000000" w:rsidP="00000000" w:rsidRDefault="00000000" w:rsidRPr="00000000" w14:paraId="000001EC">
      <w:pPr>
        <w:spacing w:after="60" w:before="60" w:lineRule="auto"/>
        <w:rPr/>
      </w:pPr>
      <w:r w:rsidDel="00000000" w:rsidR="00000000" w:rsidRPr="00000000">
        <w:rPr>
          <w:rFonts w:ascii="Titillium" w:cs="Titillium" w:eastAsia="Titillium" w:hAnsi="Titillium"/>
          <w:sz w:val="18"/>
          <w:szCs w:val="18"/>
          <w:rtl w:val="0"/>
        </w:rPr>
        <w:t xml:space="preserve">In caso di raggruppamento temporaneo o consorzio ordinario già costituiti, GEIE, aggregazione di retisti, il sopralluogo può essere effettuato da un rappresentante degli operatori economici raggruppati, aggregati in rete o consorziati. </w:t>
      </w:r>
      <w:r w:rsidDel="00000000" w:rsidR="00000000" w:rsidRPr="00000000">
        <w:rPr>
          <w:rtl w:val="0"/>
        </w:rPr>
      </w:r>
    </w:p>
    <w:p w:rsidR="00000000" w:rsidDel="00000000" w:rsidP="00000000" w:rsidRDefault="00000000" w:rsidRPr="00000000" w14:paraId="000001ED">
      <w:pPr>
        <w:spacing w:after="60" w:before="60" w:lineRule="auto"/>
        <w:rPr/>
      </w:pPr>
      <w:r w:rsidDel="00000000" w:rsidR="00000000" w:rsidRPr="00000000">
        <w:rPr>
          <w:rFonts w:ascii="Titillium" w:cs="Titillium" w:eastAsia="Titillium" w:hAnsi="Titillium"/>
          <w:sz w:val="18"/>
          <w:szCs w:val="18"/>
          <w:rtl w:val="0"/>
        </w:rPr>
        <w:t xml:space="preserve">In caso di raggruppamento temporaneo o consorzio ordinario, aggregazione di retisti non ancora costituiti, il sopralluogo è effettuato da un rappresentante di uno degli operatori economici che costituiranno il raggruppamento o l’aggregazione in rete o il consorzio. </w:t>
      </w:r>
      <w:r w:rsidDel="00000000" w:rsidR="00000000" w:rsidRPr="00000000">
        <w:rPr>
          <w:rtl w:val="0"/>
        </w:rPr>
      </w:r>
    </w:p>
    <w:p w:rsidR="00000000" w:rsidDel="00000000" w:rsidP="00000000" w:rsidRDefault="00000000" w:rsidRPr="00000000" w14:paraId="000001EE">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In caso di consorzio di cui all’articolo 65 comma 2, lettera b), c), d) del Codice il sopralluogo deve essere effettuato da soggetto munito di delega conferita dal consorzio oppure dall’operatore economico consorziato indicato come esecutore. </w:t>
      </w:r>
      <w:r w:rsidDel="00000000" w:rsidR="00000000" w:rsidRPr="00000000">
        <w:rPr>
          <w:rFonts w:ascii="Titillium" w:cs="Titillium" w:eastAsia="Titillium" w:hAnsi="Titillium"/>
          <w:i w:val="1"/>
          <w:sz w:val="18"/>
          <w:szCs w:val="18"/>
          <w:rtl w:val="0"/>
        </w:rPr>
        <w:t xml:space="preserve">.</w:t>
      </w:r>
      <w:r w:rsidDel="00000000" w:rsidR="00000000" w:rsidRPr="00000000">
        <w:rPr>
          <w:rtl w:val="0"/>
        </w:rPr>
      </w:r>
    </w:p>
    <w:p w:rsidR="00000000" w:rsidDel="00000000" w:rsidP="00000000" w:rsidRDefault="00000000" w:rsidRPr="00000000" w14:paraId="000001EF">
      <w:pPr>
        <w:spacing w:after="60" w:before="60" w:lineRule="auto"/>
        <w:rPr>
          <w:rFonts w:ascii="Titillium" w:cs="Titillium" w:eastAsia="Titillium" w:hAnsi="Titillium"/>
          <w:sz w:val="18"/>
          <w:szCs w:val="18"/>
        </w:rPr>
      </w:pPr>
      <w:r w:rsidDel="00000000" w:rsidR="00000000" w:rsidRPr="00000000">
        <w:rPr>
          <w:rtl w:val="0"/>
        </w:rPr>
      </w:r>
    </w:p>
    <w:p w:rsidR="00000000" w:rsidDel="00000000" w:rsidP="00000000" w:rsidRDefault="00000000" w:rsidRPr="00000000" w14:paraId="000001F0">
      <w:pPr>
        <w:pStyle w:val="Heading1"/>
        <w:rPr/>
      </w:pPr>
      <w:bookmarkStart w:colFirst="0" w:colLast="0" w:name="_nmf14n" w:id="29"/>
      <w:bookmarkEnd w:id="29"/>
      <w:r w:rsidDel="00000000" w:rsidR="00000000" w:rsidRPr="00000000">
        <w:rPr>
          <w:rtl w:val="0"/>
        </w:rPr>
        <w:t xml:space="preserve">12. PAGAMENTO DEL CONTRIBUTO A FAVORE DELL’ANAC</w:t>
      </w:r>
    </w:p>
    <w:p w:rsidR="00000000" w:rsidDel="00000000" w:rsidP="00000000" w:rsidRDefault="00000000" w:rsidRPr="00000000" w14:paraId="000001F1">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 concorrenti per i soli lotti 3 e 4 effettuano il pagamento del contributo previsto dalla legge in favore dell’Autorità Nazionale Anticorruzione secondo le modalità di cui alla delibera ANAC n.</w:t>
      </w:r>
      <w:r w:rsidDel="00000000" w:rsidR="00000000" w:rsidRPr="00000000">
        <w:rPr>
          <w:rFonts w:ascii="Titillium" w:cs="Titillium" w:eastAsia="Titillium" w:hAnsi="Titillium"/>
          <w:i w:val="1"/>
          <w:sz w:val="18"/>
          <w:szCs w:val="18"/>
          <w:rtl w:val="0"/>
        </w:rPr>
        <w:t xml:space="preserve"> </w:t>
      </w:r>
      <w:r w:rsidDel="00000000" w:rsidR="00000000" w:rsidRPr="00000000">
        <w:rPr>
          <w:rFonts w:ascii="Titillium" w:cs="Titillium" w:eastAsia="Titillium" w:hAnsi="Titillium"/>
          <w:sz w:val="18"/>
          <w:szCs w:val="18"/>
          <w:rtl w:val="0"/>
        </w:rPr>
        <w:t xml:space="preserve">610 del 19 dicembre 2023 </w:t>
      </w:r>
      <w:r w:rsidDel="00000000" w:rsidR="00000000" w:rsidRPr="00000000">
        <w:rPr>
          <w:rFonts w:ascii="Titillium" w:cs="Titillium" w:eastAsia="Titillium" w:hAnsi="Titillium"/>
          <w:sz w:val="18"/>
          <w:szCs w:val="18"/>
          <w:rtl w:val="0"/>
        </w:rPr>
        <w:t xml:space="preserve">pubblicata al seguente</w:t>
      </w:r>
      <w:r w:rsidDel="00000000" w:rsidR="00000000" w:rsidRPr="00000000">
        <w:rPr>
          <w:rFonts w:ascii="Titillium" w:cs="Titillium" w:eastAsia="Titillium" w:hAnsi="Titillium"/>
          <w:i w:val="1"/>
          <w:sz w:val="18"/>
          <w:szCs w:val="18"/>
          <w:rtl w:val="0"/>
        </w:rPr>
        <w:t xml:space="preserve"> </w:t>
      </w:r>
      <w:hyperlink r:id="rId22">
        <w:r w:rsidDel="00000000" w:rsidR="00000000" w:rsidRPr="00000000">
          <w:rPr>
            <w:rFonts w:ascii="Titillium" w:cs="Titillium" w:eastAsia="Titillium" w:hAnsi="Titillium"/>
            <w:i w:val="1"/>
            <w:color w:val="0563c1"/>
            <w:sz w:val="18"/>
            <w:szCs w:val="18"/>
            <w:u w:val="single"/>
            <w:rtl w:val="0"/>
          </w:rPr>
          <w:t xml:space="preserve">https://www.anticorruzione.it/-/gestione-contributi-gara</w:t>
        </w:r>
      </w:hyperlink>
      <w:r w:rsidDel="00000000" w:rsidR="00000000" w:rsidRPr="00000000">
        <w:rPr>
          <w:rFonts w:ascii="Titillium" w:cs="Titillium" w:eastAsia="Titillium" w:hAnsi="Titillium"/>
          <w:i w:val="1"/>
          <w:sz w:val="18"/>
          <w:szCs w:val="18"/>
          <w:rtl w:val="0"/>
        </w:rPr>
        <w:t xml:space="preserve">] </w:t>
      </w:r>
      <w:r w:rsidDel="00000000" w:rsidR="00000000" w:rsidRPr="00000000">
        <w:rPr>
          <w:rFonts w:ascii="Titillium" w:cs="Titillium" w:eastAsia="Titillium" w:hAnsi="Titillium"/>
          <w:sz w:val="18"/>
          <w:szCs w:val="18"/>
          <w:rtl w:val="0"/>
        </w:rPr>
        <w:t xml:space="preserve">. </w:t>
      </w:r>
    </w:p>
    <w:p w:rsidR="00000000" w:rsidDel="00000000" w:rsidP="00000000" w:rsidRDefault="00000000" w:rsidRPr="00000000" w14:paraId="000001F2">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Il pagamento del contributo è condizione di ammissibilità dell’offerta. Il contributo è dovuto per ciascun lotto per il quale si presenta offerta secondo gli importi descritti nella sottostante tabella:</w:t>
      </w:r>
    </w:p>
    <w:p w:rsidR="00000000" w:rsidDel="00000000" w:rsidP="00000000" w:rsidRDefault="00000000" w:rsidRPr="00000000" w14:paraId="000001F3">
      <w:pPr>
        <w:spacing w:after="60" w:before="60" w:lineRule="auto"/>
        <w:rPr>
          <w:rFonts w:ascii="Titillium" w:cs="Titillium" w:eastAsia="Titillium" w:hAnsi="Titillium"/>
          <w:sz w:val="18"/>
          <w:szCs w:val="18"/>
        </w:rPr>
      </w:pPr>
      <w:r w:rsidDel="00000000" w:rsidR="00000000" w:rsidRPr="00000000">
        <w:rPr>
          <w:rtl w:val="0"/>
        </w:rPr>
      </w:r>
    </w:p>
    <w:tbl>
      <w:tblPr>
        <w:tblStyle w:val="Table12"/>
        <w:tblW w:w="9224.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74.6666666666665"/>
        <w:gridCol w:w="3074.6666666666665"/>
        <w:gridCol w:w="3074.6666666666665"/>
        <w:tblGridChange w:id="0">
          <w:tblGrid>
            <w:gridCol w:w="3074.6666666666665"/>
            <w:gridCol w:w="3074.6666666666665"/>
            <w:gridCol w:w="3074.6666666666665"/>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F4">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Numero lotto</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F5">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CIG</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F6">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Importo contributo ANAC</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F8">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B06F7BABEF</w:t>
            </w:r>
          </w:p>
        </w:tc>
        <w:tc>
          <w:tcPr>
            <w:shd w:fill="auto" w:val="clear"/>
            <w:tcMar>
              <w:top w:w="100.0" w:type="dxa"/>
              <w:left w:w="100.0" w:type="dxa"/>
              <w:bottom w:w="100.0" w:type="dxa"/>
              <w:right w:w="100.0" w:type="dxa"/>
            </w:tcMar>
            <w:vAlign w:val="top"/>
          </w:tcPr>
          <w:p w:rsidR="00000000" w:rsidDel="00000000" w:rsidP="00000000" w:rsidRDefault="00000000" w:rsidRPr="00000000" w14:paraId="000001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18,00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FB">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B06F7BBCC2</w:t>
            </w:r>
          </w:p>
        </w:tc>
        <w:tc>
          <w:tcPr>
            <w:shd w:fill="auto" w:val="clear"/>
            <w:tcMar>
              <w:top w:w="100.0" w:type="dxa"/>
              <w:left w:w="100.0" w:type="dxa"/>
              <w:bottom w:w="100.0" w:type="dxa"/>
              <w:right w:w="100.0" w:type="dxa"/>
            </w:tcMar>
            <w:vAlign w:val="top"/>
          </w:tcPr>
          <w:p w:rsidR="00000000" w:rsidDel="00000000" w:rsidP="00000000" w:rsidRDefault="00000000" w:rsidRPr="00000000" w14:paraId="000001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18,00</w:t>
            </w:r>
          </w:p>
        </w:tc>
      </w:tr>
    </w:tbl>
    <w:p w:rsidR="00000000" w:rsidDel="00000000" w:rsidP="00000000" w:rsidRDefault="00000000" w:rsidRPr="00000000" w14:paraId="000001FD">
      <w:pPr>
        <w:spacing w:after="60" w:before="60" w:lineRule="auto"/>
        <w:rPr>
          <w:rFonts w:ascii="Titillium" w:cs="Titillium" w:eastAsia="Titillium" w:hAnsi="Titillium"/>
          <w:sz w:val="18"/>
          <w:szCs w:val="18"/>
        </w:rPr>
      </w:pPr>
      <w:r w:rsidDel="00000000" w:rsidR="00000000" w:rsidRPr="00000000">
        <w:rPr>
          <w:rtl w:val="0"/>
        </w:rPr>
      </w:r>
    </w:p>
    <w:tbl>
      <w:tblPr>
        <w:tblStyle w:val="Table13"/>
        <w:tblW w:w="9210.0" w:type="dxa"/>
        <w:jc w:val="left"/>
        <w:tblInd w:w="-108.0" w:type="dxa"/>
        <w:tblLayout w:type="fixed"/>
        <w:tblLook w:val="0400"/>
      </w:tblPr>
      <w:tblGrid>
        <w:gridCol w:w="9210"/>
        <w:tblGridChange w:id="0">
          <w:tblGrid>
            <w:gridCol w:w="9210"/>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FE">
            <w:pPr>
              <w:spacing w:after="60" w:before="60" w:lineRule="auto"/>
              <w:rPr>
                <w:rFonts w:ascii="Titillium" w:cs="Titillium" w:eastAsia="Titillium" w:hAnsi="Titillium"/>
                <w:i w:val="1"/>
                <w:sz w:val="18"/>
                <w:szCs w:val="18"/>
              </w:rPr>
            </w:pPr>
            <w:r w:rsidDel="00000000" w:rsidR="00000000" w:rsidRPr="00000000">
              <w:rPr>
                <w:rFonts w:ascii="Titillium" w:cs="Titillium" w:eastAsia="Titillium" w:hAnsi="Titillium"/>
                <w:i w:val="1"/>
                <w:sz w:val="18"/>
                <w:szCs w:val="18"/>
                <w:rtl w:val="0"/>
              </w:rPr>
              <w:t xml:space="preserve">N.B. Indicazioni operative sulle modalità di pagamento del contributo sono disponibili sul sito dell’Autorità Nazionale Anticorruzione al seguente link: </w:t>
            </w:r>
            <w:hyperlink r:id="rId23">
              <w:r w:rsidDel="00000000" w:rsidR="00000000" w:rsidRPr="00000000">
                <w:rPr>
                  <w:rFonts w:ascii="Titillium" w:cs="Titillium" w:eastAsia="Titillium" w:hAnsi="Titillium"/>
                  <w:i w:val="1"/>
                  <w:color w:val="0563c1"/>
                  <w:sz w:val="18"/>
                  <w:szCs w:val="18"/>
                  <w:u w:val="single"/>
                  <w:rtl w:val="0"/>
                </w:rPr>
                <w:t xml:space="preserve">https://www.anticorruzione.it/-/portale-dei-pagamenti-di-anac</w:t>
              </w:r>
            </w:hyperlink>
            <w:r w:rsidDel="00000000" w:rsidR="00000000" w:rsidRPr="00000000">
              <w:rPr>
                <w:rFonts w:ascii="Titillium" w:cs="Titillium" w:eastAsia="Titillium" w:hAnsi="Titillium"/>
                <w:i w:val="1"/>
                <w:sz w:val="18"/>
                <w:szCs w:val="18"/>
                <w:rtl w:val="0"/>
              </w:rPr>
              <w:t xml:space="preserve"> </w:t>
            </w:r>
          </w:p>
          <w:p w:rsidR="00000000" w:rsidDel="00000000" w:rsidP="00000000" w:rsidRDefault="00000000" w:rsidRPr="00000000" w14:paraId="000001FF">
            <w:pPr>
              <w:spacing w:after="60" w:before="60" w:lineRule="auto"/>
              <w:rPr>
                <w:rFonts w:ascii="Titillium" w:cs="Titillium" w:eastAsia="Titillium" w:hAnsi="Titillium"/>
                <w:i w:val="1"/>
                <w:sz w:val="18"/>
                <w:szCs w:val="18"/>
              </w:rPr>
            </w:pPr>
            <w:r w:rsidDel="00000000" w:rsidR="00000000" w:rsidRPr="00000000">
              <w:rPr>
                <w:rFonts w:ascii="Titillium" w:cs="Titillium" w:eastAsia="Titillium" w:hAnsi="Titillium"/>
                <w:i w:val="1"/>
                <w:sz w:val="18"/>
                <w:szCs w:val="18"/>
                <w:rtl w:val="0"/>
              </w:rPr>
              <w:t xml:space="preserve">L'importo del contributo è calcolato sul valore stimato d'appalto comprensivo delle eventuali opzioni contrattuali previste nella documentazione di gara.</w:t>
            </w:r>
          </w:p>
        </w:tc>
      </w:tr>
    </w:tbl>
    <w:p w:rsidR="00000000" w:rsidDel="00000000" w:rsidP="00000000" w:rsidRDefault="00000000" w:rsidRPr="00000000" w14:paraId="00000200">
      <w:pPr>
        <w:spacing w:after="60" w:before="60" w:lineRule="auto"/>
        <w:ind w:left="425" w:firstLine="0"/>
        <w:rPr>
          <w:rFonts w:ascii="Titillium" w:cs="Titillium" w:eastAsia="Titillium" w:hAnsi="Titillium"/>
        </w:rPr>
      </w:pPr>
      <w:r w:rsidDel="00000000" w:rsidR="00000000" w:rsidRPr="00000000">
        <w:rPr>
          <w:rtl w:val="0"/>
        </w:rPr>
      </w:r>
    </w:p>
    <w:p w:rsidR="00000000" w:rsidDel="00000000" w:rsidP="00000000" w:rsidRDefault="00000000" w:rsidRPr="00000000" w14:paraId="00000201">
      <w:pPr>
        <w:spacing w:after="60" w:before="60" w:lineRule="auto"/>
        <w:rPr/>
      </w:pPr>
      <w:r w:rsidDel="00000000" w:rsidR="00000000" w:rsidRPr="00000000">
        <w:rPr>
          <w:rFonts w:ascii="Titillium" w:cs="Titillium" w:eastAsia="Titillium" w:hAnsi="Titillium"/>
          <w:sz w:val="18"/>
          <w:szCs w:val="18"/>
          <w:rtl w:val="0"/>
        </w:rPr>
        <w:t xml:space="preserve">La stazione appaltante accerta il pagamento del contributo mediante consultazione del FVOE ai fini dell’ammissione alla gara. </w:t>
      </w:r>
      <w:r w:rsidDel="00000000" w:rsidR="00000000" w:rsidRPr="00000000">
        <w:rPr>
          <w:rtl w:val="0"/>
        </w:rPr>
      </w:r>
    </w:p>
    <w:p w:rsidR="00000000" w:rsidDel="00000000" w:rsidP="00000000" w:rsidRDefault="00000000" w:rsidRPr="00000000" w14:paraId="00000202">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Qualora il pagamento non risulti registrato nel sistema, la stazione appaltante richiede, mediante soccorso istruttorio, la presentazione della ricevuta di avvenuto pagamento. L’operatore economico che non adempia alla richiesta nel termine stabilito dalla stazione appaltante è escluso dalla procedura di gara per inammissibilità dell’offerta.</w:t>
      </w:r>
    </w:p>
    <w:p w:rsidR="00000000" w:rsidDel="00000000" w:rsidP="00000000" w:rsidRDefault="00000000" w:rsidRPr="00000000" w14:paraId="00000203">
      <w:pPr>
        <w:pStyle w:val="Heading1"/>
        <w:rPr/>
      </w:pPr>
      <w:bookmarkStart w:colFirst="0" w:colLast="0" w:name="_37m2jsg" w:id="30"/>
      <w:bookmarkEnd w:id="30"/>
      <w:r w:rsidDel="00000000" w:rsidR="00000000" w:rsidRPr="00000000">
        <w:rPr>
          <w:rtl w:val="0"/>
        </w:rPr>
        <w:t xml:space="preserve">13. MODALITÀ DI PRESENTAZIONE DELL’OFFERTA E SOTTOSCRIZIONE DEI DOCUMENTI DI GARA </w:t>
      </w:r>
    </w:p>
    <w:p w:rsidR="00000000" w:rsidDel="00000000" w:rsidP="00000000" w:rsidRDefault="00000000" w:rsidRPr="00000000" w14:paraId="00000204">
      <w:pPr>
        <w:tabs>
          <w:tab w:val="left" w:leader="none" w:pos="360"/>
        </w:tabs>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L’offerta e la documentazione relativa alla procedura devono essere presentate esclusivamente attraverso la Piattaforma Sater. Non sono considerate valide le offerte presentate attraverso modalità diverse da quelle previste nel presente disciplinare. L’offerta deve essere sottoscritta con firma digitale o altra firma elettronica qualificata o firma elettronica avanzata.</w:t>
      </w:r>
    </w:p>
    <w:p w:rsidR="00000000" w:rsidDel="00000000" w:rsidP="00000000" w:rsidRDefault="00000000" w:rsidRPr="00000000" w14:paraId="00000205">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Le dichiarazioni sostitutive si redigono ai sensi degli articoli 19, 46 e 47 del decreto del Presidente della Repubblica n.  445/2000. </w:t>
      </w:r>
    </w:p>
    <w:p w:rsidR="00000000" w:rsidDel="00000000" w:rsidP="00000000" w:rsidRDefault="00000000" w:rsidRPr="00000000" w14:paraId="00000206">
      <w:pPr>
        <w:spacing w:after="60" w:before="60" w:lineRule="auto"/>
        <w:rPr/>
      </w:pPr>
      <w:r w:rsidDel="00000000" w:rsidR="00000000" w:rsidRPr="00000000">
        <w:rPr>
          <w:rFonts w:ascii="Titillium" w:cs="Titillium" w:eastAsia="Titillium" w:hAnsi="Titillium"/>
          <w:sz w:val="18"/>
          <w:szCs w:val="18"/>
          <w:rtl w:val="0"/>
        </w:rPr>
        <w:t xml:space="preserve">La documentazione presentata in copia viene prodotta ai sensi del decreto legislativo n. 82/05. </w:t>
      </w:r>
      <w:r w:rsidDel="00000000" w:rsidR="00000000" w:rsidRPr="00000000">
        <w:rPr>
          <w:rtl w:val="0"/>
        </w:rPr>
      </w:r>
    </w:p>
    <w:p w:rsidR="00000000" w:rsidDel="00000000" w:rsidP="00000000" w:rsidRDefault="00000000" w:rsidRPr="00000000" w14:paraId="00000207">
      <w:pPr>
        <w:tabs>
          <w:tab w:val="left" w:leader="none" w:pos="360"/>
        </w:tabs>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L’offerta deve pervenire entro e non oltre le ore 13:00 del giorno 9 APRILE</w:t>
      </w:r>
      <w:r w:rsidDel="00000000" w:rsidR="00000000" w:rsidRPr="00000000">
        <w:rPr>
          <w:rFonts w:ascii="Titillium" w:cs="Titillium" w:eastAsia="Titillium" w:hAnsi="Titillium"/>
          <w:sz w:val="18"/>
          <w:szCs w:val="18"/>
          <w:highlight w:val="white"/>
          <w:rtl w:val="0"/>
        </w:rPr>
        <w:t xml:space="preserve"> 2024</w:t>
      </w:r>
      <w:r w:rsidDel="00000000" w:rsidR="00000000" w:rsidRPr="00000000">
        <w:rPr>
          <w:rFonts w:ascii="Titillium" w:cs="Titillium" w:eastAsia="Titillium" w:hAnsi="Titillium"/>
          <w:i w:val="1"/>
          <w:sz w:val="18"/>
          <w:szCs w:val="18"/>
          <w:rtl w:val="0"/>
        </w:rPr>
        <w:t xml:space="preserve"> </w:t>
      </w:r>
      <w:r w:rsidDel="00000000" w:rsidR="00000000" w:rsidRPr="00000000">
        <w:rPr>
          <w:rFonts w:ascii="Titillium" w:cs="Titillium" w:eastAsia="Titillium" w:hAnsi="Titillium"/>
          <w:sz w:val="18"/>
          <w:szCs w:val="18"/>
          <w:rtl w:val="0"/>
        </w:rPr>
        <w:t xml:space="preserve">a pena di irricevibilità. La Piattaforma non accetta offerte presentate dopo la data e l’orario stabiliti come termine ultimo di presentazione dell’offerta. </w:t>
      </w:r>
    </w:p>
    <w:p w:rsidR="00000000" w:rsidDel="00000000" w:rsidP="00000000" w:rsidRDefault="00000000" w:rsidRPr="00000000" w14:paraId="00000208">
      <w:pPr>
        <w:spacing w:after="60" w:before="60" w:lineRule="auto"/>
        <w:rPr/>
      </w:pPr>
      <w:r w:rsidDel="00000000" w:rsidR="00000000" w:rsidRPr="00000000">
        <w:rPr>
          <w:rFonts w:ascii="Titillium" w:cs="Titillium" w:eastAsia="Titillium" w:hAnsi="Titillium"/>
          <w:sz w:val="18"/>
          <w:szCs w:val="18"/>
          <w:rtl w:val="0"/>
        </w:rPr>
        <w:t xml:space="preserve">Per l’individuazione di data e ora di arrivo dell’offerta fa fede l’orario registrato dalla Piattaforma.</w:t>
      </w:r>
      <w:r w:rsidDel="00000000" w:rsidR="00000000" w:rsidRPr="00000000">
        <w:rPr>
          <w:rtl w:val="0"/>
        </w:rPr>
      </w:r>
    </w:p>
    <w:p w:rsidR="00000000" w:rsidDel="00000000" w:rsidP="00000000" w:rsidRDefault="00000000" w:rsidRPr="00000000" w14:paraId="00000209">
      <w:pPr>
        <w:widowControl w:val="0"/>
        <w:spacing w:after="60" w:before="60" w:line="280" w:lineRule="auto"/>
        <w:rPr/>
      </w:pPr>
      <w:r w:rsidDel="00000000" w:rsidR="00000000" w:rsidRPr="00000000">
        <w:rPr>
          <w:rFonts w:ascii="Titillium" w:cs="Titillium" w:eastAsia="Titillium" w:hAnsi="Titillium"/>
          <w:sz w:val="18"/>
          <w:szCs w:val="18"/>
          <w:rtl w:val="0"/>
        </w:rPr>
        <w:t xml:space="preserve">Le operazioni di inserimento sulla Piattaforma di tutta la documentazione richiesta rimangono ad esclusivo rischio del concorrente. Si invitano pertanto i concorrenti ad avviare tali attività con congruo anticipo rispetto alla scadenza prevista onde evitare la non completa e quindi mancata trasmissione dell’offerta entro il termine previsto. </w:t>
      </w:r>
      <w:r w:rsidDel="00000000" w:rsidR="00000000" w:rsidRPr="00000000">
        <w:rPr>
          <w:rtl w:val="0"/>
        </w:rPr>
      </w:r>
    </w:p>
    <w:p w:rsidR="00000000" w:rsidDel="00000000" w:rsidP="00000000" w:rsidRDefault="00000000" w:rsidRPr="00000000" w14:paraId="0000020A">
      <w:pPr>
        <w:widowControl w:val="0"/>
        <w:spacing w:after="60" w:before="60" w:line="280" w:lineRule="auto"/>
        <w:rPr/>
      </w:pPr>
      <w:r w:rsidDel="00000000" w:rsidR="00000000" w:rsidRPr="00000000">
        <w:rPr>
          <w:rFonts w:ascii="Titillium" w:cs="Titillium" w:eastAsia="Titillium" w:hAnsi="Titillium"/>
          <w:sz w:val="18"/>
          <w:szCs w:val="18"/>
          <w:rtl w:val="0"/>
        </w:rPr>
        <w:t xml:space="preserve">Qualora si verifichi un mancato funzionamento o un malfunzionamento della Piattaforma si applica quanto previsto al punto 1.1.</w:t>
      </w:r>
      <w:r w:rsidDel="00000000" w:rsidR="00000000" w:rsidRPr="00000000">
        <w:rPr>
          <w:rtl w:val="0"/>
        </w:rPr>
      </w:r>
    </w:p>
    <w:p w:rsidR="00000000" w:rsidDel="00000000" w:rsidP="00000000" w:rsidRDefault="00000000" w:rsidRPr="00000000" w14:paraId="0000020B">
      <w:pPr>
        <w:widowControl w:val="0"/>
        <w:spacing w:before="36.03668212890625" w:line="314.527530670166" w:lineRule="auto"/>
        <w:ind w:right="70.198974609375"/>
        <w:rPr>
          <w:i w:val="1"/>
        </w:rPr>
      </w:pPr>
      <w:r w:rsidDel="00000000" w:rsidR="00000000" w:rsidRPr="00000000">
        <w:rPr>
          <w:rFonts w:ascii="Arial" w:cs="Arial" w:eastAsia="Arial" w:hAnsi="Arial"/>
          <w:sz w:val="18.000749588012695"/>
          <w:szCs w:val="18.000749588012695"/>
          <w:rtl w:val="0"/>
        </w:rPr>
        <w:t xml:space="preserve">Ogni operatore economico per la presentazione dell’offerta ha a disposizione la capacità stabilita nella documentazione a corredo del funzionamento della Piattaforma SAT</w:t>
      </w:r>
      <w:r w:rsidDel="00000000" w:rsidR="00000000" w:rsidRPr="00000000">
        <w:rPr>
          <w:rFonts w:ascii="Arial" w:cs="Arial" w:eastAsia="Arial" w:hAnsi="Arial"/>
          <w:sz w:val="18.000749588012695"/>
          <w:szCs w:val="18.000749588012695"/>
          <w:highlight w:val="white"/>
          <w:rtl w:val="0"/>
        </w:rPr>
        <w:t xml:space="preserve">ER. La Piattaforma accetta esclusivamente files con i seguenti formati  pdf, p7m e zip. </w:t>
      </w:r>
      <w:r w:rsidDel="00000000" w:rsidR="00000000" w:rsidRPr="00000000">
        <w:rPr>
          <w:rtl w:val="0"/>
        </w:rPr>
      </w:r>
    </w:p>
    <w:p w:rsidR="00000000" w:rsidDel="00000000" w:rsidP="00000000" w:rsidRDefault="00000000" w:rsidRPr="00000000" w14:paraId="0000020C">
      <w:pPr>
        <w:pStyle w:val="Heading2"/>
        <w:rPr/>
      </w:pPr>
      <w:bookmarkStart w:colFirst="0" w:colLast="0" w:name="_3h8ber9fhpnf" w:id="31"/>
      <w:bookmarkEnd w:id="31"/>
      <w:r w:rsidDel="00000000" w:rsidR="00000000" w:rsidRPr="00000000">
        <w:rPr>
          <w:rtl w:val="0"/>
        </w:rPr>
        <w:t xml:space="preserve">13.1 Regole per la presentazione dell’offerta</w:t>
      </w:r>
    </w:p>
    <w:p w:rsidR="00000000" w:rsidDel="00000000" w:rsidP="00000000" w:rsidRDefault="00000000" w:rsidRPr="00000000" w14:paraId="000002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00" w:lineRule="auto"/>
        <w:ind w:left="0" w:right="0" w:firstLine="0"/>
        <w:jc w:val="both"/>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Ferme restando le indicazioni tecniche riportate all’articolo 1 di seguito sono indicate le modalità di caricamento dell’offerta nella Piattaforma.</w:t>
      </w:r>
    </w:p>
    <w:p w:rsidR="00000000" w:rsidDel="00000000" w:rsidP="00000000" w:rsidRDefault="00000000" w:rsidRPr="00000000" w14:paraId="000002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0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tillium" w:cs="Titillium" w:eastAsia="Titillium" w:hAnsi="Titillium"/>
          <w:sz w:val="18"/>
          <w:szCs w:val="18"/>
          <w:rtl w:val="0"/>
        </w:rPr>
        <w:t xml:space="preserve">L'</w:t>
      </w:r>
      <w:r w:rsidDel="00000000" w:rsidR="00000000" w:rsidRPr="00000000">
        <w:rPr>
          <w:rFonts w:ascii="Titillium" w:cs="Titillium" w:eastAsia="Titillium" w:hAnsi="Titillium"/>
          <w:b w:val="1"/>
          <w:i w:val="1"/>
          <w:sz w:val="18"/>
          <w:szCs w:val="18"/>
          <w:rtl w:val="0"/>
        </w:rPr>
        <w:t xml:space="preserve">OFFERTA</w:t>
      </w:r>
      <w:r w:rsidDel="00000000" w:rsidR="00000000" w:rsidRPr="00000000">
        <w:rPr>
          <w:rFonts w:ascii="Titillium" w:cs="Titillium" w:eastAsia="Titillium" w:hAnsi="Titillium"/>
          <w:sz w:val="18"/>
          <w:szCs w:val="18"/>
          <w:rtl w:val="0"/>
        </w:rPr>
        <w:t xml:space="preserve">"</w:t>
      </w: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 è composta da: </w:t>
      </w:r>
      <w:r w:rsidDel="00000000" w:rsidR="00000000" w:rsidRPr="00000000">
        <w:rPr>
          <w:rtl w:val="0"/>
        </w:rPr>
      </w:r>
    </w:p>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00" w:lineRule="auto"/>
        <w:ind w:left="567"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A – </w:t>
      </w:r>
      <w:r w:rsidDel="00000000" w:rsidR="00000000" w:rsidRPr="00000000">
        <w:rPr>
          <w:rFonts w:ascii="Titillium" w:cs="Titillium" w:eastAsia="Titillium" w:hAnsi="Titillium"/>
          <w:b w:val="1"/>
          <w:i w:val="0"/>
          <w:smallCaps w:val="0"/>
          <w:strike w:val="0"/>
          <w:color w:val="000000"/>
          <w:sz w:val="18"/>
          <w:szCs w:val="18"/>
          <w:u w:val="none"/>
          <w:shd w:fill="auto" w:val="clear"/>
          <w:vertAlign w:val="baseline"/>
          <w:rtl w:val="0"/>
        </w:rPr>
        <w:t xml:space="preserve">Documentazione amministrativa</w:t>
      </w: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00" w:lineRule="auto"/>
        <w:ind w:left="567" w:right="0" w:firstLine="0"/>
        <w:jc w:val="both"/>
        <w:rPr>
          <w:rFonts w:ascii="Times New Roman" w:cs="Times New Roman" w:eastAsia="Times New Roman" w:hAnsi="Times New Roman"/>
          <w:b w:val="0"/>
          <w:smallCaps w:val="0"/>
          <w:strike w:val="0"/>
          <w:color w:val="000000"/>
          <w:sz w:val="24"/>
          <w:szCs w:val="24"/>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B – </w:t>
      </w:r>
      <w:r w:rsidDel="00000000" w:rsidR="00000000" w:rsidRPr="00000000">
        <w:rPr>
          <w:rFonts w:ascii="Titillium" w:cs="Titillium" w:eastAsia="Titillium" w:hAnsi="Titillium"/>
          <w:b w:val="1"/>
          <w:i w:val="0"/>
          <w:smallCaps w:val="0"/>
          <w:strike w:val="0"/>
          <w:color w:val="000000"/>
          <w:sz w:val="18"/>
          <w:szCs w:val="18"/>
          <w:u w:val="none"/>
          <w:shd w:fill="auto" w:val="clear"/>
          <w:vertAlign w:val="baseline"/>
          <w:rtl w:val="0"/>
        </w:rPr>
        <w:t xml:space="preserve">Offerta tecnica </w:t>
      </w:r>
      <w:r w:rsidDel="00000000" w:rsidR="00000000" w:rsidRPr="00000000">
        <w:rPr>
          <w:rFonts w:ascii="Titillium" w:cs="Titillium" w:eastAsia="Titillium" w:hAnsi="Titillium"/>
          <w:b w:val="0"/>
          <w:smallCaps w:val="0"/>
          <w:strike w:val="0"/>
          <w:color w:val="000000"/>
          <w:sz w:val="18"/>
          <w:szCs w:val="18"/>
          <w:u w:val="none"/>
          <w:shd w:fill="auto" w:val="clear"/>
          <w:vertAlign w:val="baseline"/>
          <w:rtl w:val="0"/>
        </w:rPr>
        <w:t xml:space="preserve">una per ogni Lotto per il quale si intende partecipare; </w:t>
      </w:r>
      <w:r w:rsidDel="00000000" w:rsidR="00000000" w:rsidRPr="00000000">
        <w:rPr>
          <w:rtl w:val="0"/>
        </w:rPr>
      </w:r>
    </w:p>
    <w:p w:rsidR="00000000" w:rsidDel="00000000" w:rsidP="00000000" w:rsidRDefault="00000000" w:rsidRPr="00000000" w14:paraId="000002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00" w:lineRule="auto"/>
        <w:ind w:left="567"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tillium" w:cs="Titillium" w:eastAsia="Titillium" w:hAnsi="Titillium"/>
          <w:b w:val="0"/>
          <w:smallCaps w:val="0"/>
          <w:strike w:val="0"/>
          <w:color w:val="000000"/>
          <w:sz w:val="18"/>
          <w:szCs w:val="18"/>
          <w:u w:val="none"/>
          <w:shd w:fill="auto" w:val="clear"/>
          <w:vertAlign w:val="baseline"/>
          <w:rtl w:val="0"/>
        </w:rPr>
        <w:t xml:space="preserve">C – </w:t>
      </w:r>
      <w:r w:rsidDel="00000000" w:rsidR="00000000" w:rsidRPr="00000000">
        <w:rPr>
          <w:rFonts w:ascii="Titillium" w:cs="Titillium" w:eastAsia="Titillium" w:hAnsi="Titillium"/>
          <w:b w:val="1"/>
          <w:smallCaps w:val="0"/>
          <w:strike w:val="0"/>
          <w:color w:val="000000"/>
          <w:sz w:val="18"/>
          <w:szCs w:val="18"/>
          <w:u w:val="none"/>
          <w:shd w:fill="auto" w:val="clear"/>
          <w:vertAlign w:val="baseline"/>
          <w:rtl w:val="0"/>
        </w:rPr>
        <w:t xml:space="preserve">Offerta economica</w:t>
      </w:r>
      <w:r w:rsidDel="00000000" w:rsidR="00000000" w:rsidRPr="00000000">
        <w:rPr>
          <w:rFonts w:ascii="Titillium" w:cs="Titillium" w:eastAsia="Titillium" w:hAnsi="Titillium"/>
          <w:b w:val="0"/>
          <w:smallCaps w:val="0"/>
          <w:strike w:val="0"/>
          <w:color w:val="000000"/>
          <w:sz w:val="18"/>
          <w:szCs w:val="18"/>
          <w:u w:val="none"/>
          <w:shd w:fill="auto" w:val="clear"/>
          <w:vertAlign w:val="baseline"/>
          <w:rtl w:val="0"/>
        </w:rPr>
        <w:t xml:space="preserve"> una per ogni Lotto per il quale si intende partecipare.</w:t>
      </w: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12">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L’operatore economico ha facoltà di inserire nella Piattaforma offerte successive che sostituiscono la precedente, ovvero ritirare l’offerta presentata, nel periodo di tempo compreso tra la data e ora di inizio e la data e ora di chiusura della fase di presentazione delle offerte. </w:t>
      </w:r>
      <w:r w:rsidDel="00000000" w:rsidR="00000000" w:rsidRPr="00000000">
        <w:rPr>
          <w:rFonts w:ascii="Titillium" w:cs="Titillium" w:eastAsia="Titillium" w:hAnsi="Titillium"/>
          <w:color w:val="000000"/>
          <w:sz w:val="18"/>
          <w:szCs w:val="18"/>
          <w:rtl w:val="0"/>
        </w:rPr>
        <w:t xml:space="preserve">La stazione appaltante considera esclusivamente l’ultima offerta presentata.</w:t>
      </w:r>
      <w:r w:rsidDel="00000000" w:rsidR="00000000" w:rsidRPr="00000000">
        <w:rPr>
          <w:rFonts w:ascii="Titillium" w:cs="Titillium" w:eastAsia="Titillium" w:hAnsi="Titillium"/>
          <w:sz w:val="18"/>
          <w:szCs w:val="18"/>
          <w:rtl w:val="0"/>
        </w:rPr>
        <w:t xml:space="preserve"> </w:t>
      </w:r>
    </w:p>
    <w:p w:rsidR="00000000" w:rsidDel="00000000" w:rsidP="00000000" w:rsidRDefault="00000000" w:rsidRPr="00000000" w14:paraId="000002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Si precisa inoltre che: </w:t>
      </w:r>
    </w:p>
    <w:p w:rsidR="00000000" w:rsidDel="00000000" w:rsidP="00000000" w:rsidRDefault="00000000" w:rsidRPr="00000000" w14:paraId="00000214">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auto" w:val="clear"/>
        <w:spacing w:after="70" w:before="0" w:line="240" w:lineRule="auto"/>
        <w:ind w:left="709" w:right="0" w:hanging="357"/>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l’offerta è vincolante per il concorrente;</w:t>
      </w:r>
    </w:p>
    <w:p w:rsidR="00000000" w:rsidDel="00000000" w:rsidP="00000000" w:rsidRDefault="00000000" w:rsidRPr="00000000" w14:paraId="00000215">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auto" w:val="clear"/>
        <w:spacing w:after="0" w:before="0" w:line="240" w:lineRule="auto"/>
        <w:ind w:left="709" w:right="0" w:hanging="357"/>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con la trasmissione dell’offerta, il concorrente accetta tutta la documentazione di gara, allegati e chiarimenti inclusi.</w:t>
      </w:r>
    </w:p>
    <w:p w:rsidR="00000000" w:rsidDel="00000000" w:rsidP="00000000" w:rsidRDefault="00000000" w:rsidRPr="00000000" w14:paraId="00000216">
      <w:pPr>
        <w:spacing w:after="60" w:before="60" w:lineRule="auto"/>
        <w:rPr/>
      </w:pPr>
      <w:r w:rsidDel="00000000" w:rsidR="00000000" w:rsidRPr="00000000">
        <w:rPr>
          <w:rFonts w:ascii="Titillium" w:cs="Titillium" w:eastAsia="Titillium" w:hAnsi="Titillium"/>
          <w:sz w:val="18"/>
          <w:szCs w:val="18"/>
          <w:rtl w:val="0"/>
        </w:rPr>
        <w:t xml:space="preserve">Al momento della ricezione delle offerte, ciascun concorrente riceve la notifica del corretto recepimento della documentazione inviata</w:t>
      </w:r>
      <w:r w:rsidDel="00000000" w:rsidR="00000000" w:rsidRPr="00000000">
        <w:rPr>
          <w:rFonts w:ascii="Titillium" w:cs="Titillium" w:eastAsia="Titillium" w:hAnsi="Titillium"/>
          <w:sz w:val="18"/>
          <w:szCs w:val="18"/>
          <w:rtl w:val="0"/>
        </w:rPr>
        <w:t xml:space="preserve">. </w:t>
      </w:r>
      <w:r w:rsidDel="00000000" w:rsidR="00000000" w:rsidRPr="00000000">
        <w:rPr>
          <w:rtl w:val="0"/>
        </w:rPr>
      </w:r>
    </w:p>
    <w:p w:rsidR="00000000" w:rsidDel="00000000" w:rsidP="00000000" w:rsidRDefault="00000000" w:rsidRPr="00000000" w14:paraId="00000217">
      <w:pPr>
        <w:keepNext w:val="0"/>
        <w:keepLines w:val="0"/>
        <w:pageBreakBefore w:val="0"/>
        <w:widowControl w:val="0"/>
        <w:pBdr>
          <w:top w:space="0" w:sz="0" w:val="nil"/>
          <w:left w:space="0" w:sz="0" w:val="nil"/>
          <w:bottom w:space="0" w:sz="0" w:val="nil"/>
          <w:right w:space="0" w:sz="0" w:val="nil"/>
          <w:between w:space="0" w:sz="0" w:val="nil"/>
        </w:pBdr>
        <w:shd w:fill="auto" w:val="clear"/>
        <w:spacing w:after="60" w:before="60" w:line="276" w:lineRule="auto"/>
        <w:ind w:left="0" w:right="0" w:firstLine="0"/>
        <w:jc w:val="both"/>
        <w:rPr>
          <w:rFonts w:ascii="Book Antiqua" w:cs="Book Antiqua" w:eastAsia="Book Antiqua" w:hAnsi="Book Antiqua"/>
          <w:b w:val="0"/>
          <w:i w:val="0"/>
          <w:smallCaps w:val="0"/>
          <w:strike w:val="0"/>
          <w:color w:val="000000"/>
          <w:sz w:val="24"/>
          <w:szCs w:val="24"/>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La Piattaforma consente al concorrente di visualizzare l’avvenuta trasmissione della domanda. </w:t>
      </w:r>
      <w:r w:rsidDel="00000000" w:rsidR="00000000" w:rsidRPr="00000000">
        <w:rPr>
          <w:rtl w:val="0"/>
        </w:rPr>
      </w:r>
    </w:p>
    <w:p w:rsidR="00000000" w:rsidDel="00000000" w:rsidP="00000000" w:rsidRDefault="00000000" w:rsidRPr="00000000" w14:paraId="00000218">
      <w:pPr>
        <w:spacing w:after="60" w:before="60" w:lineRule="auto"/>
        <w:rPr/>
      </w:pPr>
      <w:r w:rsidDel="00000000" w:rsidR="00000000" w:rsidRPr="00000000">
        <w:rPr>
          <w:rFonts w:ascii="Titillium" w:cs="Titillium" w:eastAsia="Titillium" w:hAnsi="Titillium"/>
          <w:sz w:val="18"/>
          <w:szCs w:val="18"/>
          <w:rtl w:val="0"/>
        </w:rPr>
        <w:t xml:space="preserve">Il concorrente che intenda partecipare in forma associata (per esempio raggruppamento temporaneo di imprese/Consorzi, sia costituiti che costituendi) in sede di presentazione dell’offerta indica la forma di partecipazione e indica gli operatori economici riuniti o consorziati. </w:t>
      </w:r>
      <w:r w:rsidDel="00000000" w:rsidR="00000000" w:rsidRPr="00000000">
        <w:rPr>
          <w:rtl w:val="0"/>
        </w:rPr>
      </w:r>
    </w:p>
    <w:p w:rsidR="00000000" w:rsidDel="00000000" w:rsidP="00000000" w:rsidRDefault="00000000" w:rsidRPr="00000000" w14:paraId="00000219">
      <w:pPr>
        <w:spacing w:after="60" w:before="60" w:lineRule="auto"/>
        <w:rPr/>
      </w:pPr>
      <w:r w:rsidDel="00000000" w:rsidR="00000000" w:rsidRPr="00000000">
        <w:rPr>
          <w:rFonts w:ascii="Titillium" w:cs="Titillium" w:eastAsia="Titillium" w:hAnsi="Titillium"/>
          <w:sz w:val="18"/>
          <w:szCs w:val="18"/>
          <w:rtl w:val="0"/>
        </w:rPr>
        <w:t xml:space="preserve">La domanda di partecipazione,il DGUE e le dichiarazioni di offerta</w:t>
      </w:r>
      <w:r w:rsidDel="00000000" w:rsidR="00000000" w:rsidRPr="00000000">
        <w:rPr>
          <w:rFonts w:ascii="Arial" w:cs="Arial" w:eastAsia="Arial" w:hAnsi="Arial"/>
          <w:sz w:val="22"/>
          <w:szCs w:val="22"/>
          <w:rtl w:val="0"/>
        </w:rPr>
        <w:t xml:space="preserve"> </w:t>
      </w:r>
      <w:r w:rsidDel="00000000" w:rsidR="00000000" w:rsidRPr="00000000">
        <w:rPr>
          <w:rFonts w:ascii="Titillium" w:cs="Titillium" w:eastAsia="Titillium" w:hAnsi="Titillium"/>
          <w:sz w:val="18"/>
          <w:szCs w:val="18"/>
          <w:rtl w:val="0"/>
        </w:rPr>
        <w:t xml:space="preserve"> sono redatte sui modelli predisposti e messi a disposizione nella Piattaforma . </w:t>
      </w:r>
      <w:r w:rsidDel="00000000" w:rsidR="00000000" w:rsidRPr="00000000">
        <w:rPr>
          <w:rtl w:val="0"/>
        </w:rPr>
      </w:r>
    </w:p>
    <w:p w:rsidR="00000000" w:rsidDel="00000000" w:rsidP="00000000" w:rsidRDefault="00000000" w:rsidRPr="00000000" w14:paraId="0000021A">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Tutta la documentazione da produrre deve essere in lingua italiana</w:t>
      </w:r>
      <w:r w:rsidDel="00000000" w:rsidR="00000000" w:rsidRPr="00000000">
        <w:rPr>
          <w:rFonts w:ascii="Titillium" w:cs="Titillium" w:eastAsia="Titillium" w:hAnsi="Titillium"/>
          <w:i w:val="1"/>
          <w:sz w:val="18"/>
          <w:szCs w:val="18"/>
          <w:rtl w:val="0"/>
        </w:rPr>
        <w:t xml:space="preserve">.</w:t>
      </w:r>
      <w:r w:rsidDel="00000000" w:rsidR="00000000" w:rsidRPr="00000000">
        <w:rPr>
          <w:rFonts w:ascii="Titillium" w:cs="Titillium" w:eastAsia="Titillium" w:hAnsi="Titillium"/>
          <w:sz w:val="18"/>
          <w:szCs w:val="18"/>
          <w:rtl w:val="0"/>
        </w:rPr>
        <w:t xml:space="preserve"> </w:t>
      </w:r>
    </w:p>
    <w:p w:rsidR="00000000" w:rsidDel="00000000" w:rsidP="00000000" w:rsidRDefault="00000000" w:rsidRPr="00000000" w14:paraId="0000021B">
      <w:pPr>
        <w:spacing w:after="60" w:before="60" w:lineRule="auto"/>
        <w:rPr/>
      </w:pPr>
      <w:r w:rsidDel="00000000" w:rsidR="00000000" w:rsidRPr="00000000">
        <w:rPr>
          <w:rFonts w:ascii="Titillium" w:cs="Titillium" w:eastAsia="Titillium" w:hAnsi="Titillium"/>
          <w:sz w:val="18"/>
          <w:szCs w:val="18"/>
          <w:rtl w:val="0"/>
        </w:rPr>
        <w:t xml:space="preserve">L’offerta vincola il concorrente per</w:t>
      </w:r>
      <w:r w:rsidDel="00000000" w:rsidR="00000000" w:rsidRPr="00000000">
        <w:rPr>
          <w:rFonts w:ascii="Titillium" w:cs="Titillium" w:eastAsia="Titillium" w:hAnsi="Titillium"/>
          <w:i w:val="1"/>
          <w:sz w:val="18"/>
          <w:szCs w:val="18"/>
          <w:rtl w:val="0"/>
        </w:rPr>
        <w:t xml:space="preserve"> </w:t>
      </w:r>
      <w:r w:rsidDel="00000000" w:rsidR="00000000" w:rsidRPr="00000000">
        <w:rPr>
          <w:rFonts w:ascii="Titillium" w:cs="Titillium" w:eastAsia="Titillium" w:hAnsi="Titillium"/>
          <w:sz w:val="18"/>
          <w:szCs w:val="18"/>
          <w:rtl w:val="0"/>
        </w:rPr>
        <w:t xml:space="preserve">almeno 180 giorni dalla scadenza</w:t>
      </w:r>
      <w:r w:rsidDel="00000000" w:rsidR="00000000" w:rsidRPr="00000000">
        <w:rPr>
          <w:rFonts w:ascii="Titillium" w:cs="Titillium" w:eastAsia="Titillium" w:hAnsi="Titillium"/>
          <w:i w:val="1"/>
          <w:sz w:val="18"/>
          <w:szCs w:val="18"/>
          <w:rtl w:val="0"/>
        </w:rPr>
        <w:t xml:space="preserve"> </w:t>
      </w:r>
      <w:r w:rsidDel="00000000" w:rsidR="00000000" w:rsidRPr="00000000">
        <w:rPr>
          <w:rFonts w:ascii="Titillium" w:cs="Titillium" w:eastAsia="Titillium" w:hAnsi="Titillium"/>
          <w:sz w:val="18"/>
          <w:szCs w:val="18"/>
          <w:rtl w:val="0"/>
        </w:rPr>
        <w:t xml:space="preserve">del termine indicato per la presentazione dell’offerta. </w:t>
      </w:r>
      <w:r w:rsidDel="00000000" w:rsidR="00000000" w:rsidRPr="00000000">
        <w:rPr>
          <w:rtl w:val="0"/>
        </w:rPr>
      </w:r>
    </w:p>
    <w:p w:rsidR="00000000" w:rsidDel="00000000" w:rsidP="00000000" w:rsidRDefault="00000000" w:rsidRPr="00000000" w14:paraId="0000021C">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Nel caso in cui alla data di scadenza della validità delle offerte le operazioni di gara siano ancora in corso, sarà richiesto agli offerenti di confermare la validità dell’offerta sino alla data indicata e di produrre un apposito documento attestante la validità della garanzia prestata in sede di gara fino alla medesima data. </w:t>
      </w:r>
    </w:p>
    <w:p w:rsidR="00000000" w:rsidDel="00000000" w:rsidP="00000000" w:rsidRDefault="00000000" w:rsidRPr="00000000" w14:paraId="0000021D">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Il mancato riscontro alla richiesta della stazione appaltante entro il termine fissato da quest’ultima o comunque in tempo utile alla celere prosecuzione della procedura è considerato come rinuncia del concorrente alla partecipazione alla gara.</w:t>
      </w:r>
    </w:p>
    <w:p w:rsidR="00000000" w:rsidDel="00000000" w:rsidP="00000000" w:rsidRDefault="00000000" w:rsidRPr="00000000" w14:paraId="0000021E">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Fino al giorno fissato per l’apertura, l’operatore economico può effettuare, tramite la Piattaforma, la richiesta di rettifica di un errore materiale contenuto nell’offerta tecnica o nell’offerta economica, di cui si sia avveduto dopo la scadenza del termine per la loro presentazione. A tal fine, richiede di potersi avvalere di tale facoltà.  </w:t>
      </w:r>
    </w:p>
    <w:p w:rsidR="00000000" w:rsidDel="00000000" w:rsidP="00000000" w:rsidRDefault="00000000" w:rsidRPr="00000000" w14:paraId="0000021F">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A seguito della richiesta, sono comunicate all’operatore economico le modalità e i tempi con cui procedere all’indicazione degli elementi che consentono l’individuazione dell’errore materiale e la sua correzione. La rettifica è operata nel rispetto della segretezza dell’offerta e non può </w:t>
      </w:r>
      <w:r w:rsidDel="00000000" w:rsidR="00000000" w:rsidRPr="00000000">
        <w:rPr>
          <w:rFonts w:ascii="Titillium" w:cs="Titillium" w:eastAsia="Titillium" w:hAnsi="Titillium"/>
          <w:sz w:val="18"/>
          <w:szCs w:val="18"/>
          <w:rtl w:val="0"/>
        </w:rPr>
        <w:t xml:space="preserve">comportare la presentazione</w:t>
      </w:r>
      <w:r w:rsidDel="00000000" w:rsidR="00000000" w:rsidRPr="00000000">
        <w:rPr>
          <w:rFonts w:ascii="Titillium" w:cs="Titillium" w:eastAsia="Titillium" w:hAnsi="Titillium"/>
          <w:sz w:val="18"/>
          <w:szCs w:val="18"/>
          <w:rtl w:val="0"/>
        </w:rPr>
        <w:t xml:space="preserve"> di una nuova offerta, né la sua modifica sostanziale.</w:t>
      </w:r>
    </w:p>
    <w:p w:rsidR="00000000" w:rsidDel="00000000" w:rsidP="00000000" w:rsidRDefault="00000000" w:rsidRPr="00000000" w14:paraId="00000220">
      <w:pPr>
        <w:spacing w:after="60" w:before="60" w:lineRule="auto"/>
        <w:rPr/>
      </w:pPr>
      <w:r w:rsidDel="00000000" w:rsidR="00000000" w:rsidRPr="00000000">
        <w:rPr>
          <w:rFonts w:ascii="Titillium" w:cs="Titillium" w:eastAsia="Titillium" w:hAnsi="Titillium"/>
          <w:sz w:val="18"/>
          <w:szCs w:val="18"/>
          <w:rtl w:val="0"/>
        </w:rPr>
        <w:t xml:space="preserve">Se la rettifica è ritenuta non accoglibile perché sostanziale, è valutata la possibilità di dichiarare l’offerta inammissibile.</w:t>
      </w:r>
      <w:r w:rsidDel="00000000" w:rsidR="00000000" w:rsidRPr="00000000">
        <w:rPr>
          <w:rtl w:val="0"/>
        </w:rPr>
      </w:r>
    </w:p>
    <w:p w:rsidR="00000000" w:rsidDel="00000000" w:rsidP="00000000" w:rsidRDefault="00000000" w:rsidRPr="00000000" w14:paraId="00000221">
      <w:pPr>
        <w:pStyle w:val="Heading1"/>
        <w:rPr/>
      </w:pPr>
      <w:bookmarkStart w:colFirst="0" w:colLast="0" w:name="_1mrcu09" w:id="32"/>
      <w:bookmarkEnd w:id="32"/>
      <w:r w:rsidDel="00000000" w:rsidR="00000000" w:rsidRPr="00000000">
        <w:rPr>
          <w:rtl w:val="0"/>
        </w:rPr>
        <w:t xml:space="preserve">14. SOCCORSO ISTRUTTORIO</w:t>
      </w:r>
    </w:p>
    <w:p w:rsidR="00000000" w:rsidDel="00000000" w:rsidP="00000000" w:rsidRDefault="00000000" w:rsidRPr="00000000" w14:paraId="00000222">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Con la procedura di soccorso istruttorio di cui all’articolo 101 del Codice, possono essere sanate le carenze della documentazione trasmessa con la domanda di partecipazione ma non quelle della documentazione che compone l’offerta tecnica e l’offerta economica.</w:t>
      </w:r>
    </w:p>
    <w:p w:rsidR="00000000" w:rsidDel="00000000" w:rsidP="00000000" w:rsidRDefault="00000000" w:rsidRPr="00000000" w14:paraId="00000223">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Con la medesima procedura può essere sanata ogni omissione, inesattezza o irregolarità della domanda di partecipazione e di ogni altro documento richiesto per la partecipazione alla procedura di gara, con esclusione della documentazione che compone l’offerta tecnica e l’offerta economica. Non sono sanabili le omissioni, le inesattezze e irregolarità che rendono assolutamente incerta l’identità del concorrente. A titolo esemplificativo, si chiarisce che: </w:t>
      </w:r>
    </w:p>
    <w:p w:rsidR="00000000" w:rsidDel="00000000" w:rsidP="00000000" w:rsidRDefault="00000000" w:rsidRPr="00000000" w14:paraId="00000224">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il mancato possesso dei prescritti requisiti di partecipazione non è sanabile mediante soccorso istruttorio ed è causa di esclusione dalla procedura di gara;</w:t>
      </w:r>
      <w:r w:rsidDel="00000000" w:rsidR="00000000" w:rsidRPr="00000000">
        <w:rPr>
          <w:rtl w:val="0"/>
        </w:rPr>
      </w:r>
    </w:p>
    <w:p w:rsidR="00000000" w:rsidDel="00000000" w:rsidP="00000000" w:rsidRDefault="00000000" w:rsidRPr="00000000" w14:paraId="00000225">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60" w:before="60" w:line="276" w:lineRule="auto"/>
        <w:ind w:left="720"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l’omessa o incompleta nonché irregolare presentazione delle dichiarazioni sul possesso dei requisiti di partecipazione e ogni altra mancanza, incompletezza o irregolarità della domanda, sono sanabili, ad eccezione delle false dichiarazioni;</w:t>
      </w:r>
    </w:p>
    <w:p w:rsidR="00000000" w:rsidDel="00000000" w:rsidP="00000000" w:rsidRDefault="00000000" w:rsidRPr="00000000" w14:paraId="00000226">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60" w:before="60" w:line="276" w:lineRule="auto"/>
        <w:ind w:left="720" w:right="0" w:hanging="360"/>
        <w:jc w:val="both"/>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la mancata produzione del contratto di avvalimento, della garanzia provvisoria, del mandato collettivo speciale o dell’impegno a conferire mandato collettivo può essere oggetto di soccorso istruttorio solo se i citati documenti sono preesistenti e comprovabili con data certa anteriore al termine di presentazione dell’offerta;</w:t>
      </w:r>
      <w:r w:rsidDel="00000000" w:rsidR="00000000" w:rsidRPr="00000000">
        <w:rPr>
          <w:rtl w:val="0"/>
        </w:rPr>
      </w:r>
    </w:p>
    <w:p w:rsidR="00000000" w:rsidDel="00000000" w:rsidP="00000000" w:rsidRDefault="00000000" w:rsidRPr="00000000" w14:paraId="00000227">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120" w:before="60" w:line="276" w:lineRule="auto"/>
        <w:ind w:left="720" w:right="0" w:hanging="360"/>
        <w:jc w:val="both"/>
        <w:rPr>
          <w:rFonts w:ascii="Titillium" w:cs="Titillium" w:eastAsia="Titillium" w:hAnsi="Titillium"/>
          <w:b w:val="1"/>
          <w:i w:val="1"/>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il difetto di sottoscrizione della domanda di partecipazione, delle dichiarazioni richieste e dell’offerta è sanabile;</w:t>
      </w:r>
      <w:r w:rsidDel="00000000" w:rsidR="00000000" w:rsidRPr="00000000">
        <w:rPr>
          <w:rtl w:val="0"/>
        </w:rPr>
      </w:r>
    </w:p>
    <w:p w:rsidR="00000000" w:rsidDel="00000000" w:rsidP="00000000" w:rsidRDefault="00000000" w:rsidRPr="00000000" w14:paraId="00000228">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120" w:before="60" w:line="276" w:lineRule="auto"/>
        <w:ind w:left="720" w:right="0" w:hanging="360"/>
        <w:jc w:val="both"/>
        <w:rPr>
          <w:rFonts w:ascii="Titillium" w:cs="Titillium" w:eastAsia="Titillium" w:hAnsi="Titillium"/>
          <w:b w:val="1"/>
          <w:i w:val="1"/>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non è sanabile mediante soccorso istruttorio l’omessa indicazione, delle modalità con le quali l’operatore intende assicurare, in caso di aggiudicazione del contratto, il rispetto delle condizioni di partecipazione e di esecuzione di cui all’articolo 9 del presente bando. </w:t>
      </w:r>
      <w:r w:rsidDel="00000000" w:rsidR="00000000" w:rsidRPr="00000000">
        <w:rPr>
          <w:rtl w:val="0"/>
        </w:rPr>
      </w:r>
    </w:p>
    <w:p w:rsidR="00000000" w:rsidDel="00000000" w:rsidP="00000000" w:rsidRDefault="00000000" w:rsidRPr="00000000" w14:paraId="00000229">
      <w:pPr>
        <w:spacing w:after="60" w:before="60" w:lineRule="auto"/>
        <w:rPr/>
      </w:pPr>
      <w:r w:rsidDel="00000000" w:rsidR="00000000" w:rsidRPr="00000000">
        <w:rPr>
          <w:rFonts w:ascii="Titillium" w:cs="Titillium" w:eastAsia="Titillium" w:hAnsi="Titillium"/>
          <w:sz w:val="18"/>
          <w:szCs w:val="18"/>
          <w:rtl w:val="0"/>
        </w:rPr>
        <w:t xml:space="preserve">Ai fini del soccorso istruttorio è assegnato al concorrente un termine di cinque giorni </w:t>
      </w:r>
      <w:r w:rsidDel="00000000" w:rsidR="00000000" w:rsidRPr="00000000">
        <w:rPr>
          <w:rFonts w:ascii="Titillium" w:cs="Titillium" w:eastAsia="Titillium" w:hAnsi="Titillium"/>
          <w:sz w:val="18"/>
          <w:szCs w:val="18"/>
          <w:rtl w:val="0"/>
        </w:rPr>
        <w:t xml:space="preserve">affinché siano rese, integrate o regolarizzate le dichiarazioni necessarie, indicando il contenuto e i soggetti che le devono rendere nonché la sezione della Piattaforma dove deve essere inserita la documentazione richiesta. </w:t>
      </w:r>
      <w:r w:rsidDel="00000000" w:rsidR="00000000" w:rsidRPr="00000000">
        <w:rPr>
          <w:rtl w:val="0"/>
        </w:rPr>
      </w:r>
    </w:p>
    <w:p w:rsidR="00000000" w:rsidDel="00000000" w:rsidP="00000000" w:rsidRDefault="00000000" w:rsidRPr="00000000" w14:paraId="0000022A">
      <w:pPr>
        <w:spacing w:after="60" w:before="60" w:lineRule="auto"/>
        <w:rPr/>
      </w:pPr>
      <w:r w:rsidDel="00000000" w:rsidR="00000000" w:rsidRPr="00000000">
        <w:rPr>
          <w:rFonts w:ascii="Titillium" w:cs="Titillium" w:eastAsia="Titillium" w:hAnsi="Titillium"/>
          <w:sz w:val="18"/>
          <w:szCs w:val="18"/>
          <w:rtl w:val="0"/>
        </w:rPr>
        <w:t xml:space="preserve">In caso di </w:t>
      </w:r>
      <w:r w:rsidDel="00000000" w:rsidR="00000000" w:rsidRPr="00000000">
        <w:rPr>
          <w:rFonts w:ascii="Titillium" w:cs="Titillium" w:eastAsia="Titillium" w:hAnsi="Titillium"/>
          <w:sz w:val="18"/>
          <w:szCs w:val="18"/>
          <w:rtl w:val="0"/>
        </w:rPr>
        <w:t xml:space="preserve">inutile</w:t>
      </w:r>
      <w:r w:rsidDel="00000000" w:rsidR="00000000" w:rsidRPr="00000000">
        <w:rPr>
          <w:rFonts w:ascii="Titillium" w:cs="Titillium" w:eastAsia="Titillium" w:hAnsi="Titillium"/>
          <w:sz w:val="18"/>
          <w:szCs w:val="18"/>
          <w:rtl w:val="0"/>
        </w:rPr>
        <w:t xml:space="preserve"> decorso del termine, la stazione appaltante procede all’esclusione del concorrente dalla procedura.</w:t>
      </w:r>
      <w:r w:rsidDel="00000000" w:rsidR="00000000" w:rsidRPr="00000000">
        <w:rPr>
          <w:rtl w:val="0"/>
        </w:rPr>
      </w:r>
    </w:p>
    <w:p w:rsidR="00000000" w:rsidDel="00000000" w:rsidP="00000000" w:rsidRDefault="00000000" w:rsidRPr="00000000" w14:paraId="0000022B">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Ove il concorrente produca dichiarazioni o documenti non perfettamente coerenti con la richiesta, la stazione appaltante può chiedere ulteriori precisazioni o chiarimenti, limitati alla documentazione presentata in fase di soccorso istruttorio, fissando un termine a pena di esclusione.</w:t>
      </w:r>
    </w:p>
    <w:p w:rsidR="00000000" w:rsidDel="00000000" w:rsidP="00000000" w:rsidRDefault="00000000" w:rsidRPr="00000000" w14:paraId="0000022C">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stazione appaltante può sempre chiedere chiarimenti sui contenuti dell’offerta tecnica e dell’offerta economica e su ogni loro allegato. L’operatore economico è tenuto a fornire risposta nel termine di cinque giorni. I chiarimenti resi dall’operatore economico non possono modificare il contenuto dell’offerta.</w:t>
      </w:r>
    </w:p>
    <w:p w:rsidR="00000000" w:rsidDel="00000000" w:rsidP="00000000" w:rsidRDefault="00000000" w:rsidRPr="00000000" w14:paraId="0000022D">
      <w:pPr>
        <w:pStyle w:val="Heading1"/>
        <w:rPr/>
      </w:pPr>
      <w:bookmarkStart w:colFirst="0" w:colLast="0" w:name="_46r0co2" w:id="33"/>
      <w:bookmarkEnd w:id="33"/>
      <w:r w:rsidDel="00000000" w:rsidR="00000000" w:rsidRPr="00000000">
        <w:rPr>
          <w:rtl w:val="0"/>
        </w:rPr>
        <w:t xml:space="preserve">15. DOMANDA DI PARTECIPAZIONE E DOCUMENTAZIONE AMMINISTRATIVA</w:t>
      </w:r>
    </w:p>
    <w:p w:rsidR="00000000" w:rsidDel="00000000" w:rsidP="00000000" w:rsidRDefault="00000000" w:rsidRPr="00000000" w14:paraId="0000022E">
      <w:pPr>
        <w:spacing w:after="60" w:before="60" w:lineRule="auto"/>
        <w:rPr/>
      </w:pPr>
      <w:r w:rsidDel="00000000" w:rsidR="00000000" w:rsidRPr="00000000">
        <w:rPr>
          <w:rFonts w:ascii="Titillium" w:cs="Titillium" w:eastAsia="Titillium" w:hAnsi="Titillium"/>
          <w:sz w:val="18"/>
          <w:szCs w:val="18"/>
          <w:rtl w:val="0"/>
        </w:rPr>
        <w:t xml:space="preserve">L’operatore economico utilizza la Piattaforma per compilare o allegare la seguente documentazione:</w:t>
      </w:r>
      <w:r w:rsidDel="00000000" w:rsidR="00000000" w:rsidRPr="00000000">
        <w:rPr>
          <w:rtl w:val="0"/>
        </w:rPr>
      </w:r>
    </w:p>
    <w:p w:rsidR="00000000" w:rsidDel="00000000" w:rsidP="00000000" w:rsidRDefault="00000000" w:rsidRPr="00000000" w14:paraId="0000022F">
      <w:pPr>
        <w:keepNext w:val="0"/>
        <w:keepLines w:val="0"/>
        <w:pageBreakBefore w:val="0"/>
        <w:widowControl w:val="1"/>
        <w:numPr>
          <w:ilvl w:val="0"/>
          <w:numId w:val="32"/>
        </w:numPr>
        <w:pBdr>
          <w:top w:space="0" w:sz="0" w:val="nil"/>
          <w:left w:space="0" w:sz="0" w:val="nil"/>
          <w:bottom w:space="0" w:sz="0" w:val="nil"/>
          <w:right w:space="0" w:sz="0" w:val="nil"/>
          <w:between w:space="0" w:sz="0" w:val="nil"/>
        </w:pBdr>
        <w:shd w:fill="auto" w:val="clear"/>
        <w:spacing w:after="60" w:before="60" w:line="276" w:lineRule="auto"/>
        <w:ind w:left="720" w:right="0" w:hanging="360"/>
        <w:jc w:val="both"/>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domanda di partecipazione</w:t>
      </w:r>
      <w:r w:rsidDel="00000000" w:rsidR="00000000" w:rsidRPr="00000000">
        <w:rPr>
          <w:rtl w:val="0"/>
        </w:rPr>
      </w:r>
    </w:p>
    <w:p w:rsidR="00000000" w:rsidDel="00000000" w:rsidP="00000000" w:rsidRDefault="00000000" w:rsidRPr="00000000" w14:paraId="00000230">
      <w:pPr>
        <w:keepNext w:val="0"/>
        <w:keepLines w:val="0"/>
        <w:pageBreakBefore w:val="0"/>
        <w:widowControl w:val="1"/>
        <w:numPr>
          <w:ilvl w:val="0"/>
          <w:numId w:val="32"/>
        </w:numPr>
        <w:pBdr>
          <w:top w:space="0" w:sz="0" w:val="nil"/>
          <w:left w:space="0" w:sz="0" w:val="nil"/>
          <w:bottom w:space="0" w:sz="0" w:val="nil"/>
          <w:right w:space="0" w:sz="0" w:val="nil"/>
          <w:between w:space="0" w:sz="0" w:val="nil"/>
        </w:pBdr>
        <w:shd w:fill="auto" w:val="clear"/>
        <w:spacing w:after="60" w:before="60" w:line="276" w:lineRule="auto"/>
        <w:ind w:left="720" w:right="0" w:hanging="360"/>
        <w:jc w:val="both"/>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DGUE</w:t>
      </w:r>
      <w:r w:rsidDel="00000000" w:rsidR="00000000" w:rsidRPr="00000000">
        <w:rPr>
          <w:rtl w:val="0"/>
        </w:rPr>
      </w:r>
    </w:p>
    <w:p w:rsidR="00000000" w:rsidDel="00000000" w:rsidP="00000000" w:rsidRDefault="00000000" w:rsidRPr="00000000" w14:paraId="00000231">
      <w:pPr>
        <w:keepNext w:val="0"/>
        <w:keepLines w:val="0"/>
        <w:pageBreakBefore w:val="0"/>
        <w:widowControl w:val="1"/>
        <w:numPr>
          <w:ilvl w:val="0"/>
          <w:numId w:val="32"/>
        </w:numPr>
        <w:pBdr>
          <w:top w:space="0" w:sz="0" w:val="nil"/>
          <w:left w:space="0" w:sz="0" w:val="nil"/>
          <w:bottom w:space="0" w:sz="0" w:val="nil"/>
          <w:right w:space="0" w:sz="0" w:val="nil"/>
          <w:between w:space="0" w:sz="0" w:val="nil"/>
        </w:pBdr>
        <w:shd w:fill="auto" w:val="clear"/>
        <w:spacing w:after="60" w:before="60" w:line="276" w:lineRule="auto"/>
        <w:ind w:left="720" w:right="0" w:hanging="360"/>
        <w:jc w:val="both"/>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eventuale procura;</w:t>
      </w:r>
      <w:r w:rsidDel="00000000" w:rsidR="00000000" w:rsidRPr="00000000">
        <w:rPr>
          <w:rtl w:val="0"/>
        </w:rPr>
      </w:r>
    </w:p>
    <w:p w:rsidR="00000000" w:rsidDel="00000000" w:rsidP="00000000" w:rsidRDefault="00000000" w:rsidRPr="00000000" w14:paraId="00000232">
      <w:pPr>
        <w:keepNext w:val="0"/>
        <w:keepLines w:val="0"/>
        <w:pageBreakBefore w:val="0"/>
        <w:widowControl w:val="1"/>
        <w:numPr>
          <w:ilvl w:val="0"/>
          <w:numId w:val="32"/>
        </w:numPr>
        <w:pBdr>
          <w:top w:space="0" w:sz="0" w:val="nil"/>
          <w:left w:space="0" w:sz="0" w:val="nil"/>
          <w:bottom w:space="0" w:sz="0" w:val="nil"/>
          <w:right w:space="0" w:sz="0" w:val="nil"/>
          <w:between w:space="0" w:sz="0" w:val="nil"/>
        </w:pBdr>
        <w:shd w:fill="auto" w:val="clear"/>
        <w:spacing w:after="60" w:before="60" w:line="276" w:lineRule="auto"/>
        <w:ind w:left="720" w:right="0" w:hanging="360"/>
        <w:jc w:val="both"/>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garanzia provvisoria;</w:t>
      </w:r>
      <w:r w:rsidDel="00000000" w:rsidR="00000000" w:rsidRPr="00000000">
        <w:rPr>
          <w:rtl w:val="0"/>
        </w:rPr>
      </w:r>
    </w:p>
    <w:p w:rsidR="00000000" w:rsidDel="00000000" w:rsidP="00000000" w:rsidRDefault="00000000" w:rsidRPr="00000000" w14:paraId="00000233">
      <w:pPr>
        <w:keepNext w:val="0"/>
        <w:keepLines w:val="0"/>
        <w:pageBreakBefore w:val="0"/>
        <w:widowControl w:val="1"/>
        <w:numPr>
          <w:ilvl w:val="0"/>
          <w:numId w:val="32"/>
        </w:numPr>
        <w:pBdr>
          <w:top w:space="0" w:sz="0" w:val="nil"/>
          <w:left w:space="0" w:sz="0" w:val="nil"/>
          <w:bottom w:space="0" w:sz="0" w:val="nil"/>
          <w:right w:space="0" w:sz="0" w:val="nil"/>
          <w:between w:space="0" w:sz="0" w:val="nil"/>
        </w:pBdr>
        <w:shd w:fill="auto" w:val="clear"/>
        <w:spacing w:after="60" w:before="60" w:line="276" w:lineRule="auto"/>
        <w:ind w:left="720" w:right="0" w:hanging="360"/>
        <w:jc w:val="both"/>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documentazione in caso di avvalimento di cui al punto 15.3;</w:t>
      </w:r>
    </w:p>
    <w:p w:rsidR="00000000" w:rsidDel="00000000" w:rsidP="00000000" w:rsidRDefault="00000000" w:rsidRPr="00000000" w14:paraId="00000234">
      <w:pPr>
        <w:keepNext w:val="0"/>
        <w:keepLines w:val="0"/>
        <w:pageBreakBefore w:val="0"/>
        <w:widowControl w:val="1"/>
        <w:numPr>
          <w:ilvl w:val="0"/>
          <w:numId w:val="32"/>
        </w:numPr>
        <w:pBdr>
          <w:top w:space="0" w:sz="0" w:val="nil"/>
          <w:left w:space="0" w:sz="0" w:val="nil"/>
          <w:bottom w:space="0" w:sz="0" w:val="nil"/>
          <w:right w:space="0" w:sz="0" w:val="nil"/>
          <w:between w:space="0" w:sz="0" w:val="nil"/>
        </w:pBdr>
        <w:shd w:fill="auto" w:val="clear"/>
        <w:spacing w:after="60" w:before="60" w:line="276" w:lineRule="auto"/>
        <w:ind w:left="720" w:right="0" w:hanging="360"/>
        <w:jc w:val="both"/>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documentazione per i soggetti associati di cui al punto 15.4</w:t>
      </w:r>
    </w:p>
    <w:p w:rsidR="00000000" w:rsidDel="00000000" w:rsidP="00000000" w:rsidRDefault="00000000" w:rsidRPr="00000000" w14:paraId="00000235">
      <w:pPr>
        <w:keepNext w:val="0"/>
        <w:keepLines w:val="0"/>
        <w:pageBreakBefore w:val="0"/>
        <w:widowControl w:val="1"/>
        <w:numPr>
          <w:ilvl w:val="0"/>
          <w:numId w:val="32"/>
        </w:numPr>
        <w:pBdr>
          <w:top w:space="0" w:sz="0" w:val="nil"/>
          <w:left w:space="0" w:sz="0" w:val="nil"/>
          <w:bottom w:space="0" w:sz="0" w:val="nil"/>
          <w:right w:space="0" w:sz="0" w:val="nil"/>
          <w:between w:space="0" w:sz="0" w:val="nil"/>
        </w:pBdr>
        <w:shd w:fill="auto" w:val="clear"/>
        <w:spacing w:after="60" w:before="60" w:line="276" w:lineRule="auto"/>
        <w:ind w:left="720" w:right="0" w:hanging="360"/>
        <w:jc w:val="both"/>
        <w:rPr/>
      </w:pPr>
      <w:r w:rsidDel="00000000" w:rsidR="00000000" w:rsidRPr="00000000">
        <w:rPr>
          <w:rFonts w:ascii="Titillium" w:cs="Titillium" w:eastAsia="Titillium" w:hAnsi="Titillium"/>
          <w:sz w:val="18"/>
          <w:szCs w:val="18"/>
          <w:rtl w:val="0"/>
        </w:rPr>
        <w:t xml:space="preserve">attestazione </w:t>
      </w:r>
      <w:r w:rsidDel="00000000" w:rsidR="00000000" w:rsidRPr="00000000">
        <w:rPr>
          <w:rFonts w:ascii="Titillium" w:cs="Titillium" w:eastAsia="Titillium" w:hAnsi="Titillium"/>
          <w:sz w:val="18"/>
          <w:szCs w:val="18"/>
          <w:rtl w:val="0"/>
        </w:rPr>
        <w:t xml:space="preserve">avvenuto</w:t>
      </w:r>
      <w:r w:rsidDel="00000000" w:rsidR="00000000" w:rsidRPr="00000000">
        <w:rPr>
          <w:rFonts w:ascii="Titillium" w:cs="Titillium" w:eastAsia="Titillium" w:hAnsi="Titillium"/>
          <w:sz w:val="18"/>
          <w:szCs w:val="18"/>
          <w:rtl w:val="0"/>
        </w:rPr>
        <w:t xml:space="preserve"> pagamento imposta di bollo del valore di € 16,00</w:t>
      </w:r>
      <w:r w:rsidDel="00000000" w:rsidR="00000000" w:rsidRPr="00000000">
        <w:rPr>
          <w:rFonts w:ascii="Titillium" w:cs="Titillium" w:eastAsia="Titillium" w:hAnsi="Titillium"/>
          <w:b w:val="0"/>
          <w:i w:val="0"/>
          <w:smallCaps w:val="0"/>
          <w:strike w:val="0"/>
          <w:color w:val="000000"/>
          <w:sz w:val="18"/>
          <w:szCs w:val="18"/>
          <w:u w:val="none"/>
          <w:vertAlign w:val="baseline"/>
          <w:rtl w:val="0"/>
        </w:rPr>
        <w:t xml:space="preserve">.</w:t>
      </w:r>
      <w:r w:rsidDel="00000000" w:rsidR="00000000" w:rsidRPr="00000000">
        <w:rPr>
          <w:rtl w:val="0"/>
        </w:rPr>
      </w:r>
    </w:p>
    <w:p w:rsidR="00000000" w:rsidDel="00000000" w:rsidP="00000000" w:rsidRDefault="00000000" w:rsidRPr="00000000" w14:paraId="00000236">
      <w:pPr>
        <w:pStyle w:val="Heading2"/>
        <w:rPr/>
      </w:pPr>
      <w:bookmarkStart w:colFirst="0" w:colLast="0" w:name="_2lwamvv" w:id="34"/>
      <w:bookmarkEnd w:id="34"/>
      <w:r w:rsidDel="00000000" w:rsidR="00000000" w:rsidRPr="00000000">
        <w:rPr>
          <w:rtl w:val="0"/>
        </w:rPr>
        <w:t xml:space="preserve">15.1</w:t>
      </w:r>
      <w:r w:rsidDel="00000000" w:rsidR="00000000" w:rsidRPr="00000000">
        <w:rPr>
          <w:rtl w:val="0"/>
        </w:rPr>
        <w:t xml:space="preserve"> </w:t>
      </w:r>
      <w:r w:rsidDel="00000000" w:rsidR="00000000" w:rsidRPr="00000000">
        <w:rPr>
          <w:smallCaps w:val="0"/>
          <w:rtl w:val="0"/>
        </w:rPr>
        <w:t xml:space="preserve">DOMANDA DI PARTECIPAZIONE ED EVENTUALE PROCURA </w:t>
      </w:r>
      <w:r w:rsidDel="00000000" w:rsidR="00000000" w:rsidRPr="00000000">
        <w:rPr>
          <w:rtl w:val="0"/>
        </w:rPr>
      </w:r>
    </w:p>
    <w:p w:rsidR="00000000" w:rsidDel="00000000" w:rsidP="00000000" w:rsidRDefault="00000000" w:rsidRPr="00000000" w14:paraId="00000237">
      <w:pPr>
        <w:spacing w:after="60" w:before="60" w:lineRule="auto"/>
        <w:rPr>
          <w:rFonts w:ascii="Titillium" w:cs="Titillium" w:eastAsia="Titillium" w:hAnsi="Titillium"/>
          <w:sz w:val="18"/>
          <w:szCs w:val="18"/>
          <w:highlight w:val="white"/>
        </w:rPr>
      </w:pPr>
      <w:r w:rsidDel="00000000" w:rsidR="00000000" w:rsidRPr="00000000">
        <w:rPr>
          <w:rFonts w:ascii="Titillium" w:cs="Titillium" w:eastAsia="Titillium" w:hAnsi="Titillium"/>
          <w:sz w:val="18"/>
          <w:szCs w:val="18"/>
          <w:rtl w:val="0"/>
        </w:rPr>
        <w:t xml:space="preserve">La domanda di partecipazione è redatta secondo il modello di cui all’allegato n</w:t>
      </w:r>
      <w:r w:rsidDel="00000000" w:rsidR="00000000" w:rsidRPr="00000000">
        <w:rPr>
          <w:rFonts w:ascii="Titillium" w:cs="Titillium" w:eastAsia="Titillium" w:hAnsi="Titillium"/>
          <w:sz w:val="18"/>
          <w:szCs w:val="18"/>
          <w:highlight w:val="white"/>
          <w:rtl w:val="0"/>
        </w:rPr>
        <w:t xml:space="preserve">.4</w:t>
      </w:r>
      <w:r w:rsidDel="00000000" w:rsidR="00000000" w:rsidRPr="00000000">
        <w:rPr>
          <w:rtl w:val="0"/>
        </w:rPr>
      </w:r>
    </w:p>
    <w:p w:rsidR="00000000" w:rsidDel="00000000" w:rsidP="00000000" w:rsidRDefault="00000000" w:rsidRPr="00000000" w14:paraId="00000238">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Le dichiarazioni in ordine all’insussistenza delle cause automatiche di esclusione di cui all’articolo 94 commi 1 e 2 del Codice sono rese dall’operatore economico in relazione a tutti i soggetti indicati al comma 3. </w:t>
      </w:r>
    </w:p>
    <w:p w:rsidR="00000000" w:rsidDel="00000000" w:rsidP="00000000" w:rsidRDefault="00000000" w:rsidRPr="00000000" w14:paraId="00000239">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Le dichiarazioni in ordine all’insussistenza delle cause non automatiche di esclusione di cui all’articolo 98, comma 4, lettere g) ed h) del Codice sono rese dall’operatore economico in relazione ai soggetti di cui al punto precedente.</w:t>
      </w:r>
    </w:p>
    <w:p w:rsidR="00000000" w:rsidDel="00000000" w:rsidP="00000000" w:rsidRDefault="00000000" w:rsidRPr="00000000" w14:paraId="0000023A">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Le dichiarazioni in ordine all’insussistenza delle altre cause di esclusione sono rese in relazione all’operatore economico.</w:t>
      </w:r>
    </w:p>
    <w:p w:rsidR="00000000" w:rsidDel="00000000" w:rsidP="00000000" w:rsidRDefault="00000000" w:rsidRPr="00000000" w14:paraId="0000023B">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Con riferimento alle cause di esclusione di cui all’articolo 95 del Codice, il concorrente dichiara:</w:t>
      </w:r>
    </w:p>
    <w:p w:rsidR="00000000" w:rsidDel="00000000" w:rsidP="00000000" w:rsidRDefault="00000000" w:rsidRPr="00000000" w14:paraId="0000023C">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60" w:before="60" w:line="276" w:lineRule="auto"/>
        <w:ind w:left="720"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le gravi infrazioni di cui all’articolo 95, comma 1, lettera a) del Codice commesse nei tre anni antecedenti la data di pubblicazione del bando di gara; </w:t>
      </w:r>
    </w:p>
    <w:p w:rsidR="00000000" w:rsidDel="00000000" w:rsidP="00000000" w:rsidRDefault="00000000" w:rsidRPr="00000000" w14:paraId="0000023D">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60" w:before="60" w:line="276" w:lineRule="auto"/>
        <w:ind w:left="720"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gli atti e i provvedimenti indicati all’articolo 98 comma 6 del codice emessi nei tre anni antecedenti la data di pubblicazione del bando di gara</w:t>
      </w:r>
    </w:p>
    <w:p w:rsidR="00000000" w:rsidDel="00000000" w:rsidP="00000000" w:rsidRDefault="00000000" w:rsidRPr="00000000" w14:paraId="0000023E">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60" w:before="60" w:line="276" w:lineRule="auto"/>
        <w:ind w:left="720"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tutti gli altri comportamenti di cui all’articolo 98 del Codice, commessi nei tre anni antecedenti la data di pubblicazione del bando di gara.</w:t>
      </w:r>
    </w:p>
    <w:p w:rsidR="00000000" w:rsidDel="00000000" w:rsidP="00000000" w:rsidRDefault="00000000" w:rsidRPr="00000000" w14:paraId="0000023F">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dichiarazione di cui sopra deve essere resa anche nel caso di impugnazione in giudizio dei relativi provvedimenti.</w:t>
      </w:r>
    </w:p>
    <w:p w:rsidR="00000000" w:rsidDel="00000000" w:rsidP="00000000" w:rsidRDefault="00000000" w:rsidRPr="00000000" w14:paraId="00000240">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L’operatore economico dichiara la sussistenza delle cause di esclusione che si sono verificate prima della presentazione dell’offerta e indica le misure di self-cleaning adottate, oppure dimostra l’impossibilità di adottare tali misure prima della presentazione dell’offerta.</w:t>
      </w:r>
    </w:p>
    <w:p w:rsidR="00000000" w:rsidDel="00000000" w:rsidP="00000000" w:rsidRDefault="00000000" w:rsidRPr="00000000" w14:paraId="00000241">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L’operatore economico adotta le misure di self-cleaning che è stato impossibilitato ad adottare prima della presentazione dell’offerta e quelle relative a cause di esclusione che si sono verificate dopo tale momento.</w:t>
      </w:r>
    </w:p>
    <w:p w:rsidR="00000000" w:rsidDel="00000000" w:rsidP="00000000" w:rsidRDefault="00000000" w:rsidRPr="00000000" w14:paraId="00000242">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Se l’operatore economico omette di comunicare alla stazione appaltante la sussistenza dei fatti e dei provvedimenti che possono costituire una causa di esclusione ai sensi degli articoli 94 e 95 del Codice e detti fatti o provvedimenti non risultino nel FVOE, il triennio inizia a decorrere dalla data in cui la stazione appaltante ha acquisito gli stessi, anziché dalla commissione del fatto o dall’adozione del provvedimento.</w:t>
      </w:r>
    </w:p>
    <w:p w:rsidR="00000000" w:rsidDel="00000000" w:rsidP="00000000" w:rsidRDefault="00000000" w:rsidRPr="00000000" w14:paraId="00000243">
      <w:pPr>
        <w:pBdr>
          <w:top w:color="000000" w:space="1" w:sz="4" w:val="single"/>
          <w:left w:color="000000" w:space="4" w:sz="4" w:val="single"/>
          <w:bottom w:color="000000" w:space="1" w:sz="4" w:val="single"/>
          <w:right w:color="000000" w:space="4" w:sz="4" w:val="single"/>
        </w:pBdr>
        <w:spacing w:after="60" w:before="60" w:lineRule="auto"/>
        <w:rPr>
          <w:rFonts w:ascii="Titillium" w:cs="Titillium" w:eastAsia="Titillium" w:hAnsi="Titillium"/>
          <w:i w:val="1"/>
          <w:sz w:val="18"/>
          <w:szCs w:val="18"/>
        </w:rPr>
      </w:pPr>
      <w:r w:rsidDel="00000000" w:rsidR="00000000" w:rsidRPr="00000000">
        <w:rPr>
          <w:rFonts w:ascii="Titillium" w:cs="Titillium" w:eastAsia="Titillium" w:hAnsi="Titillium"/>
          <w:i w:val="1"/>
          <w:sz w:val="18"/>
          <w:szCs w:val="18"/>
          <w:rtl w:val="0"/>
        </w:rPr>
        <w:t xml:space="preserve">NB. Le cause di esclusione di cui agli articoli 95, comma 1, lettere b), c) e d) e 98, comma 4, lettera b) del Codice rilevano per la sola gara cui la condotta di riferisce. Pertanto, tali circostanze non devono essere dichiarate in occasione della partecipazione a gare successive e i relativi provvedimenti non sono inseriti nel FVOE.</w:t>
      </w:r>
    </w:p>
    <w:p w:rsidR="00000000" w:rsidDel="00000000" w:rsidP="00000000" w:rsidRDefault="00000000" w:rsidRPr="00000000" w14:paraId="00000244">
      <w:pPr>
        <w:spacing w:after="60" w:before="60" w:lineRule="auto"/>
        <w:rPr>
          <w:rFonts w:ascii="Titillium" w:cs="Titillium" w:eastAsia="Titillium" w:hAnsi="Titillium"/>
          <w:sz w:val="18"/>
          <w:szCs w:val="18"/>
        </w:rPr>
      </w:pPr>
      <w:r w:rsidDel="00000000" w:rsidR="00000000" w:rsidRPr="00000000">
        <w:rPr>
          <w:rtl w:val="0"/>
        </w:rPr>
      </w:r>
    </w:p>
    <w:p w:rsidR="00000000" w:rsidDel="00000000" w:rsidP="00000000" w:rsidRDefault="00000000" w:rsidRPr="00000000" w14:paraId="00000245">
      <w:pPr>
        <w:spacing w:after="60" w:before="60" w:lineRule="auto"/>
        <w:rPr>
          <w:rFonts w:ascii="Titillium" w:cs="Titillium" w:eastAsia="Titillium" w:hAnsi="Titillium"/>
          <w:sz w:val="18"/>
          <w:szCs w:val="18"/>
        </w:rPr>
      </w:pPr>
      <w:bookmarkStart w:colFirst="0" w:colLast="0" w:name="_111kx3o" w:id="35"/>
      <w:bookmarkEnd w:id="35"/>
      <w:r w:rsidDel="00000000" w:rsidR="00000000" w:rsidRPr="00000000">
        <w:rPr>
          <w:rFonts w:ascii="Titillium" w:cs="Titillium" w:eastAsia="Titillium" w:hAnsi="Titillium"/>
          <w:sz w:val="18"/>
          <w:szCs w:val="18"/>
          <w:rtl w:val="0"/>
        </w:rPr>
        <w:t xml:space="preserve">I</w:t>
      </w:r>
      <w:r w:rsidDel="00000000" w:rsidR="00000000" w:rsidRPr="00000000">
        <w:rPr>
          <w:rFonts w:ascii="Titillium" w:cs="Titillium" w:eastAsia="Titillium" w:hAnsi="Titillium"/>
          <w:sz w:val="18"/>
          <w:szCs w:val="18"/>
          <w:rtl w:val="0"/>
        </w:rPr>
        <w:t xml:space="preserve">l concorrente indica nella domanda di partecipazione per quale lotto concorre.</w:t>
      </w:r>
    </w:p>
    <w:p w:rsidR="00000000" w:rsidDel="00000000" w:rsidP="00000000" w:rsidRDefault="00000000" w:rsidRPr="00000000" w14:paraId="00000246">
      <w:pPr>
        <w:spacing w:after="60" w:before="60" w:lineRule="auto"/>
        <w:rPr/>
      </w:pPr>
      <w:r w:rsidDel="00000000" w:rsidR="00000000" w:rsidRPr="00000000">
        <w:rPr>
          <w:rFonts w:ascii="Titillium" w:cs="Titillium" w:eastAsia="Titillium" w:hAnsi="Titillium"/>
          <w:sz w:val="18"/>
          <w:szCs w:val="18"/>
          <w:rtl w:val="0"/>
        </w:rPr>
        <w:t xml:space="preserve">In caso di raggruppamento temporaneo, consorzio ordinario, aggregazione di retisti, GEIE, il concorrente fornisce i dati identificativi (ragione sociale, codice fiscale, sede) e il ruolo di ciascun partecipante.</w:t>
      </w:r>
      <w:r w:rsidDel="00000000" w:rsidR="00000000" w:rsidRPr="00000000">
        <w:rPr>
          <w:rtl w:val="0"/>
        </w:rPr>
      </w:r>
    </w:p>
    <w:p w:rsidR="00000000" w:rsidDel="00000000" w:rsidP="00000000" w:rsidRDefault="00000000" w:rsidRPr="00000000" w14:paraId="00000247">
      <w:pPr>
        <w:spacing w:after="60" w:before="60" w:lineRule="auto"/>
        <w:rPr/>
      </w:pPr>
      <w:r w:rsidDel="00000000" w:rsidR="00000000" w:rsidRPr="00000000">
        <w:rPr>
          <w:rFonts w:ascii="Titillium" w:cs="Titillium" w:eastAsia="Titillium" w:hAnsi="Titillium"/>
          <w:sz w:val="18"/>
          <w:szCs w:val="18"/>
          <w:rtl w:val="0"/>
        </w:rPr>
        <w:t xml:space="preserve">In caso di consorzio di cooperative, consorzio imprese artigiane o di consorzio stabile di cui all’articolo 65, comma 2, lettera b), c), d) del Codice, il consorzio indica il consorziato per il quale concorre alla gara.</w:t>
      </w:r>
      <w:r w:rsidDel="00000000" w:rsidR="00000000" w:rsidRPr="00000000">
        <w:rPr>
          <w:rtl w:val="0"/>
        </w:rPr>
      </w:r>
    </w:p>
    <w:p w:rsidR="00000000" w:rsidDel="00000000" w:rsidP="00000000" w:rsidRDefault="00000000" w:rsidRPr="00000000" w14:paraId="00000248">
      <w:pPr>
        <w:spacing w:after="60" w:before="60" w:lineRule="auto"/>
        <w:rPr/>
      </w:pPr>
      <w:bookmarkStart w:colFirst="0" w:colLast="0" w:name="_3l18frh" w:id="36"/>
      <w:bookmarkEnd w:id="36"/>
      <w:r w:rsidDel="00000000" w:rsidR="00000000" w:rsidRPr="00000000">
        <w:rPr>
          <w:rFonts w:ascii="Titillium" w:cs="Titillium" w:eastAsia="Titillium" w:hAnsi="Titillium"/>
          <w:sz w:val="18"/>
          <w:szCs w:val="18"/>
          <w:rtl w:val="0"/>
        </w:rPr>
        <w:t xml:space="preserve">Nella domanda di partecipazione il concorrente dichiara:</w:t>
      </w:r>
      <w:r w:rsidDel="00000000" w:rsidR="00000000" w:rsidRPr="00000000">
        <w:rPr>
          <w:rtl w:val="0"/>
        </w:rPr>
      </w:r>
    </w:p>
    <w:p w:rsidR="00000000" w:rsidDel="00000000" w:rsidP="00000000" w:rsidRDefault="00000000" w:rsidRPr="00000000" w14:paraId="00000249">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spacing w:after="60" w:before="60" w:line="240" w:lineRule="auto"/>
        <w:ind w:left="720" w:right="0" w:hanging="360"/>
        <w:jc w:val="both"/>
        <w:rPr/>
      </w:pPr>
      <w:r w:rsidDel="00000000" w:rsidR="00000000" w:rsidRPr="00000000">
        <w:rPr>
          <w:rFonts w:ascii="Titillium" w:cs="Titillium" w:eastAsia="Titillium" w:hAnsi="Titillium"/>
          <w:sz w:val="18"/>
          <w:szCs w:val="18"/>
          <w:rtl w:val="0"/>
        </w:rPr>
        <w:t xml:space="preserve">i dati identificativi (nome, cognome, data e luogo di nascita, codice fiscale, comune di residenza etc.) dei soggetti di cui all’articolo 94, comma 3, del Codice, ivi incluso l’amministratore di fatto, ove presente, ovvero indica la banca dati ufficiale o il pubblico registro da cui i medesimi possono essere ricavati in modo aggiornato alla data di presentazione dell’offerta;</w:t>
      </w:r>
    </w:p>
    <w:p w:rsidR="00000000" w:rsidDel="00000000" w:rsidP="00000000" w:rsidRDefault="00000000" w:rsidRPr="00000000" w14:paraId="0000024A">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spacing w:after="60" w:before="60" w:line="240" w:lineRule="auto"/>
        <w:ind w:left="720" w:right="0" w:hanging="360"/>
        <w:jc w:val="both"/>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di non partecipare alla medesima gara contemporaneamente in forme diverse (individuale e associata; in più forme associate; in forma singola e quale consorziato esecutore di un consorzio; in forma singola e come ausiliaria di altro concorrente che sia ricorso all’avvalimento per migliorare la propria offerta). Se l’operatore economico dichiara di partecipare in più di una forma, allega la documentazione che dimostra che la circostanza non ha influito sulla gara, né è idonea a incidere sulla capacità di rispettare gli obblighi contrattuali</w:t>
      </w:r>
      <w:r w:rsidDel="00000000" w:rsidR="00000000" w:rsidRPr="00000000">
        <w:rPr>
          <w:rtl w:val="0"/>
        </w:rPr>
      </w:r>
    </w:p>
    <w:p w:rsidR="00000000" w:rsidDel="00000000" w:rsidP="00000000" w:rsidRDefault="00000000" w:rsidRPr="00000000" w14:paraId="0000024B">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spacing w:after="60" w:before="60" w:line="276" w:lineRule="auto"/>
        <w:ind w:left="720" w:right="0" w:hanging="360"/>
        <w:jc w:val="both"/>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di accettare, senza condizione o riserva alcuna, tutte le norme e disposizioni contenute nella documentazione gara;</w:t>
      </w:r>
      <w:r w:rsidDel="00000000" w:rsidR="00000000" w:rsidRPr="00000000">
        <w:rPr>
          <w:rtl w:val="0"/>
        </w:rPr>
      </w:r>
    </w:p>
    <w:p w:rsidR="00000000" w:rsidDel="00000000" w:rsidP="00000000" w:rsidRDefault="00000000" w:rsidRPr="00000000" w14:paraId="0000024C">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spacing w:after="60" w:before="60" w:line="276" w:lineRule="auto"/>
        <w:ind w:left="720"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di applicare il CCNL indicato dalla stazione appaltante o altro CCNL equivalente, con l’indicazione del relativo codice alfanumerico unico di cui all’articolo 16 quater del decreto legge 76/20;</w:t>
      </w:r>
    </w:p>
    <w:p w:rsidR="00000000" w:rsidDel="00000000" w:rsidP="00000000" w:rsidRDefault="00000000" w:rsidRPr="00000000" w14:paraId="0000024D">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spacing w:after="60" w:before="60" w:line="276" w:lineRule="auto"/>
        <w:ind w:left="720" w:right="0" w:hanging="360"/>
        <w:jc w:val="left"/>
        <w:rPr>
          <w:rFonts w:ascii="Titillium" w:cs="Titillium" w:eastAsia="Titillium" w:hAnsi="Titillium"/>
          <w:sz w:val="18"/>
          <w:szCs w:val="18"/>
          <w:u w:val="none"/>
        </w:rPr>
      </w:pPr>
      <w:r w:rsidDel="00000000" w:rsidR="00000000" w:rsidRPr="00000000">
        <w:rPr>
          <w:rFonts w:ascii="Titillium" w:cs="Titillium" w:eastAsia="Titillium" w:hAnsi="Titillium"/>
          <w:sz w:val="18"/>
          <w:szCs w:val="18"/>
          <w:rtl w:val="0"/>
        </w:rPr>
        <w:t xml:space="preserve">di essere edotto degli obblighi derivanti dal Codice di comportamento approvato con delibera 8/2017  reperibile sul sito :  </w:t>
      </w:r>
      <w:hyperlink r:id="rId24">
        <w:r w:rsidDel="00000000" w:rsidR="00000000" w:rsidRPr="00000000">
          <w:rPr>
            <w:rFonts w:ascii="Titillium" w:cs="Titillium" w:eastAsia="Titillium" w:hAnsi="Titillium"/>
            <w:color w:val="1155cc"/>
            <w:sz w:val="18"/>
            <w:szCs w:val="18"/>
            <w:u w:val="single"/>
            <w:rtl w:val="0"/>
          </w:rPr>
          <w:t xml:space="preserve">https://www.arpae.it/it/arpae/amministrazione-trasparente/disposizioni-generali/codice-disciplinare-e-codice-di-condotta</w:t>
        </w:r>
      </w:hyperlink>
      <w:r w:rsidDel="00000000" w:rsidR="00000000" w:rsidRPr="00000000">
        <w:rPr>
          <w:rFonts w:ascii="Titillium" w:cs="Titillium" w:eastAsia="Titillium" w:hAnsi="Titillium"/>
          <w:sz w:val="18"/>
          <w:szCs w:val="18"/>
          <w:rtl w:val="0"/>
        </w:rPr>
        <w:t xml:space="preserve">  e di impegnarsi, in caso di  aggiudicazione, ad osservare e a far osservare ai propri dipendenti e collaboratori, per quanto applicabile, il  suddetto codice, pena la risoluzione del contratto;</w:t>
      </w:r>
    </w:p>
    <w:p w:rsidR="00000000" w:rsidDel="00000000" w:rsidP="00000000" w:rsidRDefault="00000000" w:rsidRPr="00000000" w14:paraId="0000024E">
      <w:pPr>
        <w:keepNext w:val="0"/>
        <w:keepLines w:val="0"/>
        <w:pageBreakBefore w:val="0"/>
        <w:widowControl w:val="0"/>
        <w:numPr>
          <w:ilvl w:val="0"/>
          <w:numId w:val="29"/>
        </w:numPr>
        <w:pBdr>
          <w:top w:space="0" w:sz="0" w:val="nil"/>
          <w:left w:space="0" w:sz="0" w:val="nil"/>
          <w:bottom w:space="0" w:sz="0" w:val="nil"/>
          <w:right w:space="0" w:sz="0" w:val="nil"/>
          <w:between w:space="0" w:sz="0" w:val="nil"/>
        </w:pBdr>
        <w:shd w:fill="auto" w:val="clear"/>
        <w:spacing w:after="0" w:before="60" w:line="276" w:lineRule="auto"/>
        <w:ind w:left="720" w:right="0" w:hanging="360"/>
        <w:jc w:val="both"/>
        <w:rPr/>
      </w:pPr>
      <w:r w:rsidDel="00000000" w:rsidR="00000000" w:rsidRPr="00000000">
        <w:rPr>
          <w:rFonts w:ascii="Titillium" w:cs="Titillium" w:eastAsia="Titillium" w:hAnsi="Titillium"/>
          <w:sz w:val="18"/>
          <w:szCs w:val="18"/>
          <w:rtl w:val="0"/>
        </w:rPr>
        <w:t xml:space="preserve">di accettare il patto di integrità approvato con delibera n. 6 del 31/1/2024 allegato n.10 </w:t>
      </w:r>
      <w:r w:rsidDel="00000000" w:rsidR="00000000" w:rsidRPr="00000000">
        <w:rPr>
          <w:rFonts w:ascii="Titillium" w:cs="Titillium" w:eastAsia="Titillium" w:hAnsi="Titillium"/>
          <w:sz w:val="18"/>
          <w:szCs w:val="18"/>
          <w:rtl w:val="0"/>
        </w:rPr>
        <w:t xml:space="preserve"> l</w:t>
      </w:r>
      <w:r w:rsidDel="00000000" w:rsidR="00000000" w:rsidRPr="00000000">
        <w:rPr>
          <w:rFonts w:ascii="Titillium" w:cs="Titillium" w:eastAsia="Titillium" w:hAnsi="Titillium"/>
          <w:sz w:val="18"/>
          <w:szCs w:val="18"/>
          <w:rtl w:val="0"/>
        </w:rPr>
        <w:t xml:space="preserve">a mancata accettazione delle clausole contenute nel patto di  integrità costituisce causa di esclusione dalla gara, ai sensi dell’articolo 83-bis, del decreto legislativo 159/2011 </w:t>
      </w:r>
      <w:r w:rsidDel="00000000" w:rsidR="00000000" w:rsidRPr="00000000">
        <w:rPr>
          <w:rFonts w:ascii="Titillium" w:cs="Titillium" w:eastAsia="Titillium" w:hAnsi="Titillium"/>
          <w:sz w:val="18"/>
          <w:szCs w:val="18"/>
          <w:rtl w:val="0"/>
        </w:rPr>
        <w:t xml:space="preserve">;</w:t>
      </w:r>
      <w:r w:rsidDel="00000000" w:rsidR="00000000" w:rsidRPr="00000000">
        <w:rPr>
          <w:rtl w:val="0"/>
        </w:rPr>
      </w:r>
    </w:p>
    <w:p w:rsidR="00000000" w:rsidDel="00000000" w:rsidP="00000000" w:rsidRDefault="00000000" w:rsidRPr="00000000" w14:paraId="0000024F">
      <w:pPr>
        <w:keepNext w:val="0"/>
        <w:keepLines w:val="1"/>
        <w:pageBreakBefore w:val="0"/>
        <w:widowControl w:val="1"/>
        <w:numPr>
          <w:ilvl w:val="0"/>
          <w:numId w:val="29"/>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Fonts w:ascii="Titillium" w:cs="Titillium" w:eastAsia="Titillium" w:hAnsi="Titillium"/>
          <w:sz w:val="18"/>
          <w:szCs w:val="18"/>
          <w:rtl w:val="0"/>
        </w:rPr>
        <w:t xml:space="preserve">per gli operatori economici non residenti e privi di stabile organizzazione in Italia, l’impegno ad uniformarsi, in caso di aggiudicazione, alla disciplina di cui agli articoli 17, comma 2, e 53, comma 3 del decreto del Presidente della Repubblica 633/72 e a comunicare alla stazione appaltante la nomina del proprio rappresentante fiscale, nelle forme di legge;</w:t>
      </w:r>
    </w:p>
    <w:p w:rsidR="00000000" w:rsidDel="00000000" w:rsidP="00000000" w:rsidRDefault="00000000" w:rsidRPr="00000000" w14:paraId="00000250">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per gli operatori economici non residenti e privi di stabile organizzazione in Italia, il domicilio fiscale …, il codice fiscale …, la partita IVA …, l’indirizzo di posta elettronica certificata o strumento analogo negli altri Stati Membri, ai fini delle comunicazioni di cui all’articolo 90 del Codice;</w:t>
      </w:r>
    </w:p>
    <w:p w:rsidR="00000000" w:rsidDel="00000000" w:rsidP="00000000" w:rsidRDefault="00000000" w:rsidRPr="00000000" w14:paraId="00000251">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di aver preso visione e di accettare il trattamento dei dati personali di cui al punto 2</w:t>
      </w:r>
      <w:r w:rsidDel="00000000" w:rsidR="00000000" w:rsidRPr="00000000">
        <w:rPr>
          <w:rFonts w:ascii="Titillium" w:cs="Titillium" w:eastAsia="Titillium" w:hAnsi="Titillium"/>
          <w:sz w:val="18"/>
          <w:szCs w:val="18"/>
          <w:rtl w:val="0"/>
        </w:rPr>
        <w:t xml:space="preserve">9</w:t>
      </w: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52">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domanda e le relative dichiarazioni sono sottoscritte ai sensi del decreto legislativo n. 82/2005:</w:t>
      </w:r>
    </w:p>
    <w:p w:rsidR="00000000" w:rsidDel="00000000" w:rsidP="00000000" w:rsidRDefault="00000000" w:rsidRPr="00000000" w14:paraId="00000253">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60" w:before="60" w:line="276" w:lineRule="auto"/>
        <w:ind w:left="426" w:right="0" w:hanging="284"/>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dal concorrente che partecipa in forma singola;</w:t>
      </w:r>
    </w:p>
    <w:p w:rsidR="00000000" w:rsidDel="00000000" w:rsidP="00000000" w:rsidRDefault="00000000" w:rsidRPr="00000000" w14:paraId="00000254">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60" w:before="60" w:line="276" w:lineRule="auto"/>
        <w:ind w:left="426" w:right="0" w:hanging="284"/>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nel caso di raggruppamento temporaneo o consorzio ordinario o GEIE costituiti, dalla mandataria/capofila;</w:t>
      </w:r>
    </w:p>
    <w:p w:rsidR="00000000" w:rsidDel="00000000" w:rsidP="00000000" w:rsidRDefault="00000000" w:rsidRPr="00000000" w14:paraId="00000255">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60" w:before="60" w:line="276" w:lineRule="auto"/>
        <w:ind w:left="426" w:right="0" w:hanging="284"/>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nel caso di raggruppamento temporaneo o consorzio ordinario o GEIE non ancora costituiti, da tutti i soggetti che costituiranno il raggruppamento o il consorzio o il gruppo;</w:t>
      </w:r>
    </w:p>
    <w:p w:rsidR="00000000" w:rsidDel="00000000" w:rsidP="00000000" w:rsidRDefault="00000000" w:rsidRPr="00000000" w14:paraId="00000256">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60" w:before="60" w:line="276" w:lineRule="auto"/>
        <w:ind w:left="426" w:right="0" w:hanging="284"/>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nel caso di aggregazioni di retisti:</w:t>
      </w:r>
    </w:p>
    <w:p w:rsidR="00000000" w:rsidDel="00000000" w:rsidP="00000000" w:rsidRDefault="00000000" w:rsidRPr="00000000" w14:paraId="00000257">
      <w:pPr>
        <w:numPr>
          <w:ilvl w:val="4"/>
          <w:numId w:val="16"/>
        </w:numPr>
        <w:spacing w:after="60" w:before="60" w:lineRule="auto"/>
        <w:ind w:left="709" w:hanging="283"/>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se la rete è dotata di un organo comune con potere di rappresentanza e con soggettività giuridica, ai sensi dell’articolo 3, comma 4-</w:t>
      </w:r>
      <w:r w:rsidDel="00000000" w:rsidR="00000000" w:rsidRPr="00000000">
        <w:rPr>
          <w:rFonts w:ascii="Titillium" w:cs="Titillium" w:eastAsia="Titillium" w:hAnsi="Titillium"/>
          <w:i w:val="1"/>
          <w:sz w:val="18"/>
          <w:szCs w:val="18"/>
          <w:rtl w:val="0"/>
        </w:rPr>
        <w:t xml:space="preserve">quater</w:t>
      </w:r>
      <w:r w:rsidDel="00000000" w:rsidR="00000000" w:rsidRPr="00000000">
        <w:rPr>
          <w:rFonts w:ascii="Titillium" w:cs="Titillium" w:eastAsia="Titillium" w:hAnsi="Titillium"/>
          <w:sz w:val="18"/>
          <w:szCs w:val="18"/>
          <w:rtl w:val="0"/>
        </w:rPr>
        <w:t xml:space="preserve">, del decreto legge 10 febbraio 2009, n. 5, la domanda di partecipazione deve essere sottoscritta dal solo operatore economico che riveste la funzione di organo comune;</w:t>
      </w:r>
    </w:p>
    <w:p w:rsidR="00000000" w:rsidDel="00000000" w:rsidP="00000000" w:rsidRDefault="00000000" w:rsidRPr="00000000" w14:paraId="00000258">
      <w:pPr>
        <w:numPr>
          <w:ilvl w:val="4"/>
          <w:numId w:val="16"/>
        </w:numPr>
        <w:spacing w:after="60" w:before="60" w:lineRule="auto"/>
        <w:ind w:left="709" w:hanging="283"/>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se la rete è dotata di un organo comune con potere di rappresentanza ma è priva di soggettività giuridica, ai sensi dell’articolo 3, comma 4-</w:t>
      </w:r>
      <w:r w:rsidDel="00000000" w:rsidR="00000000" w:rsidRPr="00000000">
        <w:rPr>
          <w:rFonts w:ascii="Titillium" w:cs="Titillium" w:eastAsia="Titillium" w:hAnsi="Titillium"/>
          <w:i w:val="1"/>
          <w:sz w:val="18"/>
          <w:szCs w:val="18"/>
          <w:rtl w:val="0"/>
        </w:rPr>
        <w:t xml:space="preserve">quater</w:t>
      </w:r>
      <w:r w:rsidDel="00000000" w:rsidR="00000000" w:rsidRPr="00000000">
        <w:rPr>
          <w:rFonts w:ascii="Titillium" w:cs="Titillium" w:eastAsia="Titillium" w:hAnsi="Titillium"/>
          <w:sz w:val="18"/>
          <w:szCs w:val="18"/>
          <w:rtl w:val="0"/>
        </w:rPr>
        <w:t xml:space="preserve">, del decreto legge 10 febbraio 2009, n. 5, la domanda di partecipazione deve essere sottoscritta dall’impresa che riveste le funzioni di organo comune nonché da ognuno dei retisti che partecipa alla gara; </w:t>
      </w:r>
    </w:p>
    <w:p w:rsidR="00000000" w:rsidDel="00000000" w:rsidP="00000000" w:rsidRDefault="00000000" w:rsidRPr="00000000" w14:paraId="00000259">
      <w:pPr>
        <w:numPr>
          <w:ilvl w:val="4"/>
          <w:numId w:val="16"/>
        </w:numPr>
        <w:spacing w:after="60" w:before="60" w:lineRule="auto"/>
        <w:ind w:left="709" w:hanging="283"/>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se la rete è dotata di un organo comune privo del potere di rappresentanza o se la rete è sprovvista di organo comune, oppure se l’organo comune è privo dei requisiti di qualificazione richiesti per assumere la veste di mandataria, la domanda di partecipazione deve essere sottoscritta dal retista che riveste la qualifica di mandatario, ovvero, in caso di partecipazione nelle forme del raggruppamento da costituirsi, da ognuno dei retisti che partecipa alla gara. </w:t>
      </w:r>
    </w:p>
    <w:p w:rsidR="00000000" w:rsidDel="00000000" w:rsidP="00000000" w:rsidRDefault="00000000" w:rsidRPr="00000000" w14:paraId="0000025A">
      <w:pPr>
        <w:spacing w:after="60" w:before="60" w:lineRule="auto"/>
        <w:ind w:left="426" w:hanging="256"/>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 </w:t>
        <w:tab/>
        <w:t xml:space="preserve">nel caso di consorzio di cooperative e imprese artigiane o di consorzio stabile di cui all’articolo 65, comma 2, lettera b), c) e d) del Codice, la domanda è sottoscritta digitalmente dal consorzio medesimo.</w:t>
      </w:r>
    </w:p>
    <w:p w:rsidR="00000000" w:rsidDel="00000000" w:rsidP="00000000" w:rsidRDefault="00000000" w:rsidRPr="00000000" w14:paraId="0000025B">
      <w:pPr>
        <w:rPr>
          <w:rFonts w:ascii="Garamond" w:cs="Garamond" w:eastAsia="Garamond" w:hAnsi="Garamond"/>
          <w:b w:val="0"/>
          <w:i w:val="0"/>
          <w:smallCaps w:val="0"/>
          <w:strike w:val="0"/>
          <w:color w:val="000000"/>
          <w:sz w:val="24"/>
          <w:szCs w:val="24"/>
          <w:u w:val="none"/>
          <w:shd w:fill="auto" w:val="clear"/>
          <w:vertAlign w:val="baseline"/>
        </w:rPr>
      </w:pPr>
      <w:r w:rsidDel="00000000" w:rsidR="00000000" w:rsidRPr="00000000">
        <w:rPr>
          <w:rFonts w:ascii="Titillium" w:cs="Titillium" w:eastAsia="Titillium" w:hAnsi="Titillium"/>
          <w:sz w:val="18"/>
          <w:szCs w:val="18"/>
          <w:rtl w:val="0"/>
        </w:rPr>
        <w:t xml:space="preserve">La domanda e le relative dichiarazioni sono firmate dal legale rappresentante del concorrente o da un suo procuratore munito della relativa procura</w:t>
      </w:r>
      <w:r w:rsidDel="00000000" w:rsidR="00000000" w:rsidRPr="00000000">
        <w:rPr>
          <w:rFonts w:ascii="Titillium" w:cs="Titillium" w:eastAsia="Titillium" w:hAnsi="Titillium"/>
          <w:b w:val="1"/>
          <w:sz w:val="18"/>
          <w:szCs w:val="18"/>
          <w:rtl w:val="0"/>
        </w:rPr>
        <w:t xml:space="preserve">. </w:t>
      </w:r>
      <w:r w:rsidDel="00000000" w:rsidR="00000000" w:rsidRPr="00000000">
        <w:rPr>
          <w:rFonts w:ascii="Titillium" w:cs="Titillium" w:eastAsia="Titillium" w:hAnsi="Titillium"/>
          <w:sz w:val="18"/>
          <w:szCs w:val="18"/>
          <w:rtl w:val="0"/>
        </w:rPr>
        <w:t xml:space="preserve">In tal caso, il concorrente allega alla domanda copia conforme all’originale della procura. Non è necessario allegare la procura se dalla visura camerale del concorrente risulti l’indicazione espressa dei poteri rappresentativi conferiti al procuratore.</w:t>
      </w:r>
      <w:r w:rsidDel="00000000" w:rsidR="00000000" w:rsidRPr="00000000">
        <w:rPr>
          <w:rFonts w:ascii="Titillium" w:cs="Titillium" w:eastAsia="Titillium" w:hAnsi="Titillium"/>
          <w:i w:val="1"/>
          <w:sz w:val="18"/>
          <w:szCs w:val="18"/>
          <w:rtl w:val="0"/>
        </w:rPr>
        <w:br w:type="textWrapping"/>
      </w: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La domanda di partecipazione deve essere presentata nel rispetto di quanto stabilito dal Decreto del Presidente della Repubblica n. 642/72 in ordine all’assolvimento dell’imposta di bollo. Il pagamento della suddetta imposta del valore di € 16,00 viene effettuato tramite F24, bollo virtuale previa autorizzazione rilasciata dall’Agenzia delle Entrate o tramite il servizio @e.bollo</w:t>
      </w: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 </w:t>
      </w: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dell'Agenzia delle Entrate o per gli operatori economici esteri tramite il pagamento del tributo con bonifico utilizzando il codice Iban IT07Y0100003245348008120501 e specificando nella causale la propria denominazione, codice fiscale (se presente) e gli estremi dell'atto a cui si riferisce il pagamento. </w:t>
      </w:r>
      <w:r w:rsidDel="00000000" w:rsidR="00000000" w:rsidRPr="00000000">
        <w:rPr>
          <w:rFonts w:ascii="Titillium" w:cs="Titillium" w:eastAsia="Titillium" w:hAnsi="Titillium"/>
          <w:b w:val="0"/>
          <w:i w:val="1"/>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5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both"/>
        <w:rPr>
          <w:rFonts w:ascii="Garamond" w:cs="Garamond" w:eastAsia="Garamond" w:hAnsi="Garamond"/>
          <w:b w:val="0"/>
          <w:i w:val="0"/>
          <w:smallCaps w:val="0"/>
          <w:strike w:val="0"/>
          <w:color w:val="000000"/>
          <w:sz w:val="24"/>
          <w:szCs w:val="24"/>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A comprova del pagamento, il concorrente allega la ricevuta di pagamento elettronico ovvero del bonifico bancario.</w:t>
      </w:r>
      <w:r w:rsidDel="00000000" w:rsidR="00000000" w:rsidRPr="00000000">
        <w:rPr>
          <w:rtl w:val="0"/>
        </w:rPr>
      </w:r>
    </w:p>
    <w:p w:rsidR="00000000" w:rsidDel="00000000" w:rsidP="00000000" w:rsidRDefault="00000000" w:rsidRPr="00000000" w14:paraId="000002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both"/>
        <w:rPr>
          <w:rFonts w:ascii="Arial" w:cs="Arial" w:eastAsia="Arial" w:hAnsi="Arial"/>
          <w:b w:val="0"/>
          <w:i w:val="0"/>
          <w:smallCaps w:val="0"/>
          <w:strike w:val="0"/>
          <w:color w:val="2a2a2a"/>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In alternativa il concorrente può acquistare la marca da bollo da euro 16,00 ed inserire il suo numero seriale all'interno della dichiarazione contenuta nell'istanza telematica e allegare, obbligatoriamente copia del contrassegno in formato.pdf. Il concorrente si assume ogni responsabilità in caso di utilizzo plurimo dei contrassegni. </w:t>
      </w:r>
      <w:r w:rsidDel="00000000" w:rsidR="00000000" w:rsidRPr="00000000">
        <w:rPr>
          <w:rFonts w:ascii="Titillium" w:cs="Titillium" w:eastAsia="Titillium" w:hAnsi="Titillium"/>
          <w:color w:val="000000"/>
          <w:sz w:val="18"/>
          <w:szCs w:val="18"/>
          <w:u w:val="none"/>
          <w:rtl w:val="0"/>
        </w:rPr>
        <w:t xml:space="preserve"> </w:t>
      </w:r>
      <w:r w:rsidDel="00000000" w:rsidR="00000000" w:rsidRPr="00000000">
        <w:rPr>
          <w:rtl w:val="0"/>
        </w:rPr>
      </w:r>
    </w:p>
    <w:p w:rsidR="00000000" w:rsidDel="00000000" w:rsidP="00000000" w:rsidRDefault="00000000" w:rsidRPr="00000000" w14:paraId="0000025E">
      <w:pPr>
        <w:pStyle w:val="Heading2"/>
        <w:rPr>
          <w:rFonts w:ascii="Arial" w:cs="Arial" w:eastAsia="Arial" w:hAnsi="Arial"/>
        </w:rPr>
      </w:pPr>
      <w:bookmarkStart w:colFirst="0" w:colLast="0" w:name="_4k668n3" w:id="37"/>
      <w:bookmarkEnd w:id="37"/>
      <w:r w:rsidDel="00000000" w:rsidR="00000000" w:rsidRPr="00000000">
        <w:rPr>
          <w:rFonts w:ascii="Arial" w:cs="Arial" w:eastAsia="Arial" w:hAnsi="Arial"/>
          <w:rtl w:val="0"/>
        </w:rPr>
        <w:t xml:space="preserve">15.2 </w:t>
      </w:r>
      <w:r w:rsidDel="00000000" w:rsidR="00000000" w:rsidRPr="00000000">
        <w:rPr>
          <w:rFonts w:ascii="Arial" w:cs="Arial" w:eastAsia="Arial" w:hAnsi="Arial"/>
          <w:rtl w:val="0"/>
        </w:rPr>
        <w:t xml:space="preserve">DICHIARAZIONI DA RENDERE A CURA DEGLI  OPERATORI ECONOMICI AMMESSI AL CONCORDATO PREVENTIVO CON CONTINUITÀ AZIENDALE DI CUI ALL’ARTICOLO 372</w:t>
      </w:r>
      <w:r w:rsidDel="00000000" w:rsidR="00000000" w:rsidRPr="00000000">
        <w:rPr>
          <w:rFonts w:ascii="Arial" w:cs="Arial" w:eastAsia="Arial" w:hAnsi="Arial"/>
          <w:smallCaps w:val="0"/>
          <w:rtl w:val="0"/>
        </w:rPr>
        <w:t xml:space="preserve"> del</w:t>
      </w:r>
      <w:r w:rsidDel="00000000" w:rsidR="00000000" w:rsidRPr="00000000">
        <w:rPr>
          <w:rFonts w:ascii="Arial" w:cs="Arial" w:eastAsia="Arial" w:hAnsi="Arial"/>
          <w:rtl w:val="0"/>
        </w:rPr>
        <w:t xml:space="preserve"> </w:t>
      </w:r>
      <w:r w:rsidDel="00000000" w:rsidR="00000000" w:rsidRPr="00000000">
        <w:rPr>
          <w:rFonts w:ascii="Arial" w:cs="Arial" w:eastAsia="Arial" w:hAnsi="Arial"/>
          <w:smallCaps w:val="0"/>
          <w:rtl w:val="0"/>
        </w:rPr>
        <w:t xml:space="preserve">DECRETO LEGISLATIVO 12 GENNAIO 2019 , n. 14</w:t>
      </w:r>
      <w:r w:rsidDel="00000000" w:rsidR="00000000" w:rsidRPr="00000000">
        <w:rPr>
          <w:rtl w:val="0"/>
        </w:rPr>
      </w:r>
    </w:p>
    <w:p w:rsidR="00000000" w:rsidDel="00000000" w:rsidP="00000000" w:rsidRDefault="00000000" w:rsidRPr="00000000" w14:paraId="0000025F">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Il concorrente dichiara ai sensi degli articoli 46 e 47 del decreto del Presidente della Repubblica n. 445/2000 gli estremi del provvedimento di ammissione al concordato e del provvedimento di autorizzazione a partecipare alle gare, nonché dichiara che le altre imprese aderenti al raggruppamento non sono assoggettate ad una procedura concorsuale, ai sensi dell’articolo 95, commi 4 e 5, del decreto legislativo n. 14/2019</w:t>
      </w:r>
    </w:p>
    <w:p w:rsidR="00000000" w:rsidDel="00000000" w:rsidP="00000000" w:rsidRDefault="00000000" w:rsidRPr="00000000" w14:paraId="00000260">
      <w:pPr>
        <w:spacing w:after="60" w:before="60" w:lineRule="auto"/>
        <w:rPr/>
      </w:pPr>
      <w:r w:rsidDel="00000000" w:rsidR="00000000" w:rsidRPr="00000000">
        <w:rPr>
          <w:rFonts w:ascii="Titillium" w:cs="Titillium" w:eastAsia="Titillium" w:hAnsi="Titillium"/>
          <w:sz w:val="18"/>
          <w:szCs w:val="18"/>
          <w:rtl w:val="0"/>
        </w:rPr>
        <w:t xml:space="preserve">Il concorrente presenta una relazione di un professionista in possesso dei requisiti di cui all'</w:t>
      </w:r>
      <w:hyperlink r:id="rId25">
        <w:r w:rsidDel="00000000" w:rsidR="00000000" w:rsidRPr="00000000">
          <w:rPr>
            <w:rFonts w:ascii="Titillium" w:cs="Titillium" w:eastAsia="Titillium" w:hAnsi="Titillium"/>
            <w:color w:val="000000"/>
            <w:sz w:val="18"/>
            <w:szCs w:val="18"/>
            <w:u w:val="none"/>
            <w:rtl w:val="0"/>
          </w:rPr>
          <w:t xml:space="preserve">articolo 2, comma 1, lettera o) del decreto legislativo succitato </w:t>
        </w:r>
      </w:hyperlink>
      <w:r w:rsidDel="00000000" w:rsidR="00000000" w:rsidRPr="00000000">
        <w:rPr>
          <w:rFonts w:ascii="Titillium" w:cs="Titillium" w:eastAsia="Titillium" w:hAnsi="Titillium"/>
          <w:sz w:val="18"/>
          <w:szCs w:val="18"/>
          <w:rtl w:val="0"/>
        </w:rPr>
        <w:t xml:space="preserve">che attesta la conformità al piano e la ragionevole capacità di adempimento del contratto.</w:t>
      </w:r>
      <w:r w:rsidDel="00000000" w:rsidR="00000000" w:rsidRPr="00000000">
        <w:rPr>
          <w:rtl w:val="0"/>
        </w:rPr>
      </w:r>
    </w:p>
    <w:p w:rsidR="00000000" w:rsidDel="00000000" w:rsidP="00000000" w:rsidRDefault="00000000" w:rsidRPr="00000000" w14:paraId="00000261">
      <w:pPr>
        <w:pStyle w:val="Heading2"/>
        <w:rPr/>
      </w:pPr>
      <w:bookmarkStart w:colFirst="0" w:colLast="0" w:name="_2zbgiuw" w:id="38"/>
      <w:bookmarkEnd w:id="38"/>
      <w:r w:rsidDel="00000000" w:rsidR="00000000" w:rsidRPr="00000000">
        <w:rPr>
          <w:rtl w:val="0"/>
        </w:rPr>
        <w:t xml:space="preserve">15.3 DOCUMENTAZIONE IN CASO DI AVVALIMENTO</w:t>
      </w:r>
    </w:p>
    <w:p w:rsidR="00000000" w:rsidDel="00000000" w:rsidP="00000000" w:rsidRDefault="00000000" w:rsidRPr="00000000" w14:paraId="00000262">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L’impresa ausiliaria rende le dichiarazioni sul possesso dei requisiti di ordine generale mediante compilazione dell’apposita sezione del DGUE. </w:t>
      </w:r>
    </w:p>
    <w:p w:rsidR="00000000" w:rsidDel="00000000" w:rsidP="00000000" w:rsidRDefault="00000000" w:rsidRPr="00000000" w14:paraId="00000263">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Il concorrente, per ciascuna ausiliaria, allega:</w:t>
      </w:r>
    </w:p>
    <w:p w:rsidR="00000000" w:rsidDel="00000000" w:rsidP="00000000" w:rsidRDefault="00000000" w:rsidRPr="00000000" w14:paraId="00000264">
      <w:pPr>
        <w:keepNext w:val="0"/>
        <w:keepLines w:val="0"/>
        <w:pageBreakBefore w:val="0"/>
        <w:widowControl w:val="1"/>
        <w:numPr>
          <w:ilvl w:val="2"/>
          <w:numId w:val="34"/>
        </w:numPr>
        <w:pBdr>
          <w:top w:space="0" w:sz="0" w:val="nil"/>
          <w:left w:space="0" w:sz="0" w:val="nil"/>
          <w:bottom w:space="0" w:sz="0" w:val="nil"/>
          <w:right w:space="0" w:sz="0" w:val="nil"/>
          <w:between w:space="0" w:sz="0" w:val="nil"/>
        </w:pBdr>
        <w:shd w:fill="auto" w:val="clear"/>
        <w:spacing w:after="60" w:before="60" w:line="276" w:lineRule="auto"/>
        <w:ind w:left="567" w:right="0" w:hanging="567"/>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la dichiarazione di avvalimento;</w:t>
      </w:r>
    </w:p>
    <w:p w:rsidR="00000000" w:rsidDel="00000000" w:rsidP="00000000" w:rsidRDefault="00000000" w:rsidRPr="00000000" w14:paraId="00000265">
      <w:pPr>
        <w:keepNext w:val="0"/>
        <w:keepLines w:val="0"/>
        <w:pageBreakBefore w:val="0"/>
        <w:widowControl w:val="1"/>
        <w:numPr>
          <w:ilvl w:val="2"/>
          <w:numId w:val="34"/>
        </w:numPr>
        <w:pBdr>
          <w:top w:space="0" w:sz="0" w:val="nil"/>
          <w:left w:space="0" w:sz="0" w:val="nil"/>
          <w:bottom w:space="0" w:sz="0" w:val="nil"/>
          <w:right w:space="0" w:sz="0" w:val="nil"/>
          <w:between w:space="0" w:sz="0" w:val="nil"/>
        </w:pBdr>
        <w:shd w:fill="auto" w:val="clear"/>
        <w:spacing w:after="60" w:before="60" w:line="276" w:lineRule="auto"/>
        <w:ind w:left="567" w:right="0" w:hanging="567"/>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il contratto di avvalimento;</w:t>
      </w:r>
    </w:p>
    <w:p w:rsidR="00000000" w:rsidDel="00000000" w:rsidP="00000000" w:rsidRDefault="00000000" w:rsidRPr="00000000" w14:paraId="00000266">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Nel caso di avvalimento finalizzato al miglioramento dell’offerta, il contratto di avvalimento è presentato nell’offerta tecnica.</w:t>
      </w:r>
    </w:p>
    <w:p w:rsidR="00000000" w:rsidDel="00000000" w:rsidP="00000000" w:rsidRDefault="00000000" w:rsidRPr="00000000" w14:paraId="00000267">
      <w:pPr>
        <w:pStyle w:val="Heading2"/>
        <w:rPr/>
      </w:pPr>
      <w:bookmarkStart w:colFirst="0" w:colLast="0" w:name="_1egqt2p" w:id="39"/>
      <w:bookmarkEnd w:id="39"/>
      <w:r w:rsidDel="00000000" w:rsidR="00000000" w:rsidRPr="00000000">
        <w:rPr>
          <w:rtl w:val="0"/>
        </w:rPr>
        <w:t xml:space="preserve">15.4 DOCUMENTAZIONE ULTERIORE PER I SOGGETTI ASSOCIATI</w:t>
      </w:r>
    </w:p>
    <w:p w:rsidR="00000000" w:rsidDel="00000000" w:rsidP="00000000" w:rsidRDefault="00000000" w:rsidRPr="00000000" w14:paraId="00000268">
      <w:pPr>
        <w:spacing w:after="60" w:before="60" w:lineRule="auto"/>
        <w:rPr>
          <w:rFonts w:ascii="Titillium" w:cs="Titillium" w:eastAsia="Titillium" w:hAnsi="Titillium"/>
          <w:b w:val="1"/>
          <w:sz w:val="18"/>
          <w:szCs w:val="18"/>
        </w:rPr>
      </w:pPr>
      <w:r w:rsidDel="00000000" w:rsidR="00000000" w:rsidRPr="00000000">
        <w:rPr>
          <w:rFonts w:ascii="Titillium" w:cs="Titillium" w:eastAsia="Titillium" w:hAnsi="Titillium"/>
          <w:b w:val="1"/>
          <w:sz w:val="18"/>
          <w:szCs w:val="18"/>
          <w:rtl w:val="0"/>
        </w:rPr>
        <w:t xml:space="preserve">Per i raggruppamenti temporanei già costituiti</w:t>
      </w:r>
    </w:p>
    <w:p w:rsidR="00000000" w:rsidDel="00000000" w:rsidP="00000000" w:rsidRDefault="00000000" w:rsidRPr="00000000" w14:paraId="00000269">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spacing w:after="60" w:before="60" w:line="276" w:lineRule="auto"/>
        <w:ind w:left="284" w:right="0" w:hanging="284"/>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copia del mandato collettivo irrevocabile con rappresentanza conferito alla mandataria per atto pubblico o scrittura privata autenticata;</w:t>
      </w:r>
    </w:p>
    <w:p w:rsidR="00000000" w:rsidDel="00000000" w:rsidP="00000000" w:rsidRDefault="00000000" w:rsidRPr="00000000" w14:paraId="0000026A">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spacing w:after="60" w:before="60" w:line="276" w:lineRule="auto"/>
        <w:ind w:left="284" w:right="0" w:hanging="284"/>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dichiarazione delle parti del servizio/fornitura, ovvero della percentuale in caso di servizio/forniture indivisibili, che saranno eseguite dai singoli operatori economici riuniti o consorziati. </w:t>
      </w:r>
    </w:p>
    <w:p w:rsidR="00000000" w:rsidDel="00000000" w:rsidP="00000000" w:rsidRDefault="00000000" w:rsidRPr="00000000" w14:paraId="0000026B">
      <w:pPr>
        <w:spacing w:after="60" w:before="60" w:lineRule="auto"/>
        <w:rPr>
          <w:rFonts w:ascii="Titillium" w:cs="Titillium" w:eastAsia="Titillium" w:hAnsi="Titillium"/>
          <w:b w:val="1"/>
          <w:sz w:val="18"/>
          <w:szCs w:val="18"/>
        </w:rPr>
      </w:pPr>
      <w:r w:rsidDel="00000000" w:rsidR="00000000" w:rsidRPr="00000000">
        <w:rPr>
          <w:rFonts w:ascii="Titillium" w:cs="Titillium" w:eastAsia="Titillium" w:hAnsi="Titillium"/>
          <w:b w:val="1"/>
          <w:sz w:val="18"/>
          <w:szCs w:val="18"/>
          <w:rtl w:val="0"/>
        </w:rPr>
        <w:t xml:space="preserve">Per i consorzi ordinari o GEIE già costituiti</w:t>
      </w:r>
    </w:p>
    <w:p w:rsidR="00000000" w:rsidDel="00000000" w:rsidP="00000000" w:rsidRDefault="00000000" w:rsidRPr="00000000" w14:paraId="0000026C">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spacing w:after="60" w:before="60" w:line="276" w:lineRule="auto"/>
        <w:ind w:left="284" w:right="0" w:hanging="284"/>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copia dell’atto costitutivo e dello statuto del consorzio o GEIE, con indicazione del soggetto designato quale capofila; </w:t>
      </w:r>
    </w:p>
    <w:p w:rsidR="00000000" w:rsidDel="00000000" w:rsidP="00000000" w:rsidRDefault="00000000" w:rsidRPr="00000000" w14:paraId="0000026D">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spacing w:after="60" w:before="60" w:line="276" w:lineRule="auto"/>
        <w:ind w:left="284" w:right="0" w:hanging="284"/>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dichiarazione sottoscritta delle parti del servizio/fornitura, ovvero la percentuale in caso di servizi/forniture indivisibili, che saranno eseguite dai singoli operatori economici consorziati. </w:t>
      </w:r>
    </w:p>
    <w:p w:rsidR="00000000" w:rsidDel="00000000" w:rsidP="00000000" w:rsidRDefault="00000000" w:rsidRPr="00000000" w14:paraId="0000026E">
      <w:pPr>
        <w:spacing w:after="60" w:before="60" w:lineRule="auto"/>
        <w:rPr>
          <w:rFonts w:ascii="Titillium" w:cs="Titillium" w:eastAsia="Titillium" w:hAnsi="Titillium"/>
          <w:b w:val="1"/>
          <w:sz w:val="18"/>
          <w:szCs w:val="18"/>
        </w:rPr>
      </w:pPr>
      <w:r w:rsidDel="00000000" w:rsidR="00000000" w:rsidRPr="00000000">
        <w:rPr>
          <w:rFonts w:ascii="Titillium" w:cs="Titillium" w:eastAsia="Titillium" w:hAnsi="Titillium"/>
          <w:b w:val="1"/>
          <w:sz w:val="18"/>
          <w:szCs w:val="18"/>
          <w:rtl w:val="0"/>
        </w:rPr>
        <w:t xml:space="preserve">Per i raggruppamenti temporanei o consorzi ordinari o GEIE non ancora costituiti</w:t>
      </w:r>
    </w:p>
    <w:p w:rsidR="00000000" w:rsidDel="00000000" w:rsidP="00000000" w:rsidRDefault="00000000" w:rsidRPr="00000000" w14:paraId="0000026F">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spacing w:after="60" w:before="60" w:line="276" w:lineRule="auto"/>
        <w:ind w:left="284" w:right="0" w:hanging="284"/>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 dichiarazione rese da ciascun concorrente, attestante:</w:t>
      </w:r>
    </w:p>
    <w:p w:rsidR="00000000" w:rsidDel="00000000" w:rsidP="00000000" w:rsidRDefault="00000000" w:rsidRPr="00000000" w14:paraId="00000270">
      <w:pPr>
        <w:numPr>
          <w:ilvl w:val="0"/>
          <w:numId w:val="10"/>
        </w:numPr>
        <w:spacing w:after="60" w:before="60" w:lineRule="auto"/>
        <w:ind w:left="709" w:hanging="284"/>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a quale operatore economico, in caso di aggiudicazione, sarà conferito mandato speciale con rappresentanza o funzioni di capogruppo;</w:t>
      </w:r>
    </w:p>
    <w:p w:rsidR="00000000" w:rsidDel="00000000" w:rsidP="00000000" w:rsidRDefault="00000000" w:rsidRPr="00000000" w14:paraId="00000271">
      <w:pPr>
        <w:numPr>
          <w:ilvl w:val="0"/>
          <w:numId w:val="10"/>
        </w:numPr>
        <w:spacing w:after="60" w:before="60" w:lineRule="auto"/>
        <w:ind w:left="709" w:hanging="284"/>
        <w:rPr/>
      </w:pPr>
      <w:r w:rsidDel="00000000" w:rsidR="00000000" w:rsidRPr="00000000">
        <w:rPr>
          <w:rFonts w:ascii="Titillium" w:cs="Titillium" w:eastAsia="Titillium" w:hAnsi="Titillium"/>
          <w:sz w:val="18"/>
          <w:szCs w:val="18"/>
          <w:rtl w:val="0"/>
        </w:rPr>
        <w:t xml:space="preserve">l’impegno, in caso di aggiudicazione, ad uniformarsi alla disciplina vigente con riguardo ai raggruppamenti temporanei o consorzi o GEIE ai sensi dell’articolo 68 del Codice conferendo mandato collettivo speciale con rappresentanza all’impresa qualificata come mandataria che stipulerà il contratto in nome e per conto delle mandanti/consorziate;</w:t>
      </w:r>
      <w:r w:rsidDel="00000000" w:rsidR="00000000" w:rsidRPr="00000000">
        <w:rPr>
          <w:rtl w:val="0"/>
        </w:rPr>
      </w:r>
    </w:p>
    <w:p w:rsidR="00000000" w:rsidDel="00000000" w:rsidP="00000000" w:rsidRDefault="00000000" w:rsidRPr="00000000" w14:paraId="00000272">
      <w:pPr>
        <w:numPr>
          <w:ilvl w:val="0"/>
          <w:numId w:val="10"/>
        </w:numPr>
        <w:spacing w:after="60" w:before="60" w:lineRule="auto"/>
        <w:ind w:left="709" w:hanging="284"/>
        <w:rPr/>
      </w:pPr>
      <w:r w:rsidDel="00000000" w:rsidR="00000000" w:rsidRPr="00000000">
        <w:rPr>
          <w:rFonts w:ascii="Titillium" w:cs="Titillium" w:eastAsia="Titillium" w:hAnsi="Titillium"/>
          <w:sz w:val="18"/>
          <w:szCs w:val="18"/>
          <w:rtl w:val="0"/>
        </w:rPr>
        <w:t xml:space="preserve">le parti del servizio/fornitura, ovvero la percentuale in caso di servizio/forniture indivisibili, che saranno eseguite dai singoli operatori economici riuniti o consorziati. </w:t>
      </w:r>
      <w:r w:rsidDel="00000000" w:rsidR="00000000" w:rsidRPr="00000000">
        <w:rPr>
          <w:rtl w:val="0"/>
        </w:rPr>
      </w:r>
    </w:p>
    <w:p w:rsidR="00000000" w:rsidDel="00000000" w:rsidP="00000000" w:rsidRDefault="00000000" w:rsidRPr="00000000" w14:paraId="00000273">
      <w:pPr>
        <w:spacing w:after="60" w:before="60" w:lineRule="auto"/>
        <w:rPr>
          <w:rFonts w:ascii="Titillium" w:cs="Titillium" w:eastAsia="Titillium" w:hAnsi="Titillium"/>
          <w:b w:val="1"/>
          <w:sz w:val="18"/>
          <w:szCs w:val="18"/>
        </w:rPr>
      </w:pPr>
      <w:r w:rsidDel="00000000" w:rsidR="00000000" w:rsidRPr="00000000">
        <w:rPr>
          <w:rFonts w:ascii="Titillium" w:cs="Titillium" w:eastAsia="Titillium" w:hAnsi="Titillium"/>
          <w:b w:val="1"/>
          <w:sz w:val="18"/>
          <w:szCs w:val="18"/>
          <w:rtl w:val="0"/>
        </w:rPr>
        <w:t xml:space="preserve">Per le aggregazioni di retisti: se la rete è dotata di un organo comune con potere di rappresentanza e soggettività giuridica</w:t>
      </w:r>
    </w:p>
    <w:p w:rsidR="00000000" w:rsidDel="00000000" w:rsidP="00000000" w:rsidRDefault="00000000" w:rsidRPr="00000000" w14:paraId="00000274">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60" w:before="60" w:line="276" w:lineRule="auto"/>
        <w:ind w:left="720"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copia del contratto di rete, con indicazione dell’organo comune che agisce in rappresentanza della rete.</w:t>
      </w:r>
    </w:p>
    <w:p w:rsidR="00000000" w:rsidDel="00000000" w:rsidP="00000000" w:rsidRDefault="00000000" w:rsidRPr="00000000" w14:paraId="00000275">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60" w:before="60" w:line="276" w:lineRule="auto"/>
        <w:ind w:left="720"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dichiarazione che indichi per quali imprese la rete concorre; </w:t>
      </w:r>
    </w:p>
    <w:p w:rsidR="00000000" w:rsidDel="00000000" w:rsidP="00000000" w:rsidRDefault="00000000" w:rsidRPr="00000000" w14:paraId="00000276">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60" w:before="60" w:line="276" w:lineRule="auto"/>
        <w:ind w:left="720"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dichiarazione sottoscritta con firma digitale delle parti del servizio o della fornitura, ovvero la percentuale in caso di servizio/forniture indivisibili, che saranno eseguite dai singoli operatori economici aggregati in rete. </w:t>
      </w:r>
    </w:p>
    <w:p w:rsidR="00000000" w:rsidDel="00000000" w:rsidP="00000000" w:rsidRDefault="00000000" w:rsidRPr="00000000" w14:paraId="00000277">
      <w:pPr>
        <w:spacing w:after="60" w:before="60" w:lineRule="auto"/>
        <w:rPr>
          <w:rFonts w:ascii="Titillium" w:cs="Titillium" w:eastAsia="Titillium" w:hAnsi="Titillium"/>
          <w:b w:val="1"/>
          <w:sz w:val="18"/>
          <w:szCs w:val="18"/>
        </w:rPr>
      </w:pPr>
      <w:r w:rsidDel="00000000" w:rsidR="00000000" w:rsidRPr="00000000">
        <w:rPr>
          <w:rFonts w:ascii="Titillium" w:cs="Titillium" w:eastAsia="Titillium" w:hAnsi="Titillium"/>
          <w:b w:val="1"/>
          <w:sz w:val="18"/>
          <w:szCs w:val="18"/>
          <w:rtl w:val="0"/>
        </w:rPr>
        <w:t xml:space="preserve">Per le aggregazioni di retisti: se la rete è dotata di un organo comune con potere di rappresentanza ma è priva di soggettività giuridica</w:t>
      </w:r>
    </w:p>
    <w:p w:rsidR="00000000" w:rsidDel="00000000" w:rsidP="00000000" w:rsidRDefault="00000000" w:rsidRPr="00000000" w14:paraId="00000278">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60" w:before="60" w:line="276" w:lineRule="auto"/>
        <w:ind w:left="709" w:right="0" w:hanging="425"/>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copia del contratto di rete;</w:t>
      </w:r>
    </w:p>
    <w:p w:rsidR="00000000" w:rsidDel="00000000" w:rsidP="00000000" w:rsidRDefault="00000000" w:rsidRPr="00000000" w14:paraId="00000279">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60" w:before="60" w:line="276" w:lineRule="auto"/>
        <w:ind w:left="709" w:right="0" w:hanging="425"/>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copia del mandato collettivo irrevocabile con rappresentanza conferito all’organo comune; </w:t>
      </w:r>
    </w:p>
    <w:p w:rsidR="00000000" w:rsidDel="00000000" w:rsidP="00000000" w:rsidRDefault="00000000" w:rsidRPr="00000000" w14:paraId="0000027A">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60" w:before="60" w:line="276" w:lineRule="auto"/>
        <w:ind w:left="709" w:right="0" w:hanging="425"/>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dichiarazione delle parti del servizio o della fornitura, ovvero la percentuale in caso di servizio/forniture indivisibili, che saranno eseguite dai singoli operatori economici aggregati in rete.</w:t>
      </w:r>
    </w:p>
    <w:p w:rsidR="00000000" w:rsidDel="00000000" w:rsidP="00000000" w:rsidRDefault="00000000" w:rsidRPr="00000000" w14:paraId="0000027B">
      <w:pPr>
        <w:spacing w:after="60" w:before="60" w:lineRule="auto"/>
        <w:rPr>
          <w:rFonts w:ascii="Titillium" w:cs="Titillium" w:eastAsia="Titillium" w:hAnsi="Titillium"/>
          <w:b w:val="1"/>
          <w:sz w:val="18"/>
          <w:szCs w:val="18"/>
        </w:rPr>
      </w:pPr>
      <w:r w:rsidDel="00000000" w:rsidR="00000000" w:rsidRPr="00000000">
        <w:rPr>
          <w:rFonts w:ascii="Titillium" w:cs="Titillium" w:eastAsia="Titillium" w:hAnsi="Titillium"/>
          <w:b w:val="1"/>
          <w:sz w:val="18"/>
          <w:szCs w:val="18"/>
          <w:rtl w:val="0"/>
        </w:rPr>
        <w:t xml:space="preserve">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raggruppamento temporaneo di imprese costituito o costituendo</w:t>
      </w:r>
    </w:p>
    <w:p w:rsidR="00000000" w:rsidDel="00000000" w:rsidP="00000000" w:rsidRDefault="00000000" w:rsidRPr="00000000" w14:paraId="0000027C">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60" w:before="60" w:line="276" w:lineRule="auto"/>
        <w:ind w:left="720" w:right="0" w:hanging="360"/>
        <w:jc w:val="both"/>
        <w:rPr/>
      </w:pPr>
      <w:r w:rsidDel="00000000" w:rsidR="00000000" w:rsidRPr="00000000">
        <w:rPr>
          <w:rFonts w:ascii="Titillium" w:cs="Titillium" w:eastAsia="Titillium" w:hAnsi="Titillium"/>
          <w:b w:val="1"/>
          <w:i w:val="0"/>
          <w:smallCaps w:val="0"/>
          <w:strike w:val="0"/>
          <w:color w:val="000000"/>
          <w:sz w:val="18"/>
          <w:szCs w:val="18"/>
          <w:u w:val="none"/>
          <w:shd w:fill="auto" w:val="clear"/>
          <w:vertAlign w:val="baseline"/>
          <w:rtl w:val="0"/>
        </w:rPr>
        <w:t xml:space="preserve">in caso di raggruppamento temporaneo di imprese costituito</w:t>
      </w: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7D">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60" w:before="60" w:line="276" w:lineRule="auto"/>
        <w:ind w:left="851" w:right="0" w:hanging="142.00000000000003"/>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copia del contratto di rete</w:t>
      </w:r>
    </w:p>
    <w:p w:rsidR="00000000" w:rsidDel="00000000" w:rsidP="00000000" w:rsidRDefault="00000000" w:rsidRPr="00000000" w14:paraId="0000027E">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60" w:before="60" w:line="276" w:lineRule="auto"/>
        <w:ind w:left="851" w:right="0" w:hanging="142.00000000000003"/>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copia del mandato collettivo irrevocabile con rappresentanza conferito alla mandataria</w:t>
      </w:r>
    </w:p>
    <w:p w:rsidR="00000000" w:rsidDel="00000000" w:rsidP="00000000" w:rsidRDefault="00000000" w:rsidRPr="00000000" w14:paraId="0000027F">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60" w:before="60" w:line="276" w:lineRule="auto"/>
        <w:ind w:left="851" w:right="0" w:hanging="142.00000000000003"/>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dichiarazione delle parti del servizio o della fornitura, ovvero la percentuale in caso di servizio/forniture indivisibili, che saranno eseguite dai singoli operatori economici aggregati in rete.</w:t>
      </w:r>
    </w:p>
    <w:p w:rsidR="00000000" w:rsidDel="00000000" w:rsidP="00000000" w:rsidRDefault="00000000" w:rsidRPr="00000000" w14:paraId="00000280">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60" w:before="60" w:line="276" w:lineRule="auto"/>
        <w:ind w:left="720" w:right="0" w:hanging="360"/>
        <w:jc w:val="both"/>
        <w:rPr/>
      </w:pPr>
      <w:r w:rsidDel="00000000" w:rsidR="00000000" w:rsidRPr="00000000">
        <w:rPr>
          <w:rFonts w:ascii="Titillium" w:cs="Titillium" w:eastAsia="Titillium" w:hAnsi="Titillium"/>
          <w:b w:val="1"/>
          <w:i w:val="0"/>
          <w:smallCaps w:val="0"/>
          <w:strike w:val="0"/>
          <w:color w:val="000000"/>
          <w:sz w:val="18"/>
          <w:szCs w:val="18"/>
          <w:u w:val="none"/>
          <w:shd w:fill="auto" w:val="clear"/>
          <w:vertAlign w:val="baseline"/>
          <w:rtl w:val="0"/>
        </w:rPr>
        <w:t xml:space="preserve">in caso di raggruppamento temporaneo di imprese costituendo</w:t>
      </w: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81">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60" w:before="60" w:line="276" w:lineRule="auto"/>
        <w:ind w:left="851" w:right="0" w:hanging="142.00000000000003"/>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copia del contratto di rete</w:t>
      </w:r>
    </w:p>
    <w:p w:rsidR="00000000" w:rsidDel="00000000" w:rsidP="00000000" w:rsidRDefault="00000000" w:rsidRPr="00000000" w14:paraId="00000282">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60" w:before="60" w:line="276" w:lineRule="auto"/>
        <w:ind w:left="851" w:right="0" w:hanging="142.00000000000003"/>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dichiarazioni, rese da ciascun concorrente aderente all’aggregazione di rete, attestanti:</w:t>
      </w:r>
    </w:p>
    <w:p w:rsidR="00000000" w:rsidDel="00000000" w:rsidP="00000000" w:rsidRDefault="00000000" w:rsidRPr="00000000" w14:paraId="00000283">
      <w:pPr>
        <w:numPr>
          <w:ilvl w:val="3"/>
          <w:numId w:val="31"/>
        </w:numPr>
        <w:spacing w:after="60" w:before="60" w:lineRule="auto"/>
        <w:ind w:left="1276" w:hanging="284.00000000000006"/>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a quale concorrente, in caso di aggiudicazione, sarà conferito mandato speciale con rappresentanza o funzioni di capogruppo;</w:t>
      </w:r>
    </w:p>
    <w:p w:rsidR="00000000" w:rsidDel="00000000" w:rsidP="00000000" w:rsidRDefault="00000000" w:rsidRPr="00000000" w14:paraId="00000284">
      <w:pPr>
        <w:numPr>
          <w:ilvl w:val="3"/>
          <w:numId w:val="31"/>
        </w:numPr>
        <w:spacing w:after="60" w:before="60" w:lineRule="auto"/>
        <w:ind w:left="1276" w:hanging="284.00000000000006"/>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l’impegno, in caso di aggiudicazione, ad uniformarsi alla disciplina vigente in materia di raggruppamenti temporanei;</w:t>
      </w:r>
    </w:p>
    <w:p w:rsidR="00000000" w:rsidDel="00000000" w:rsidP="00000000" w:rsidRDefault="00000000" w:rsidRPr="00000000" w14:paraId="00000285">
      <w:pPr>
        <w:numPr>
          <w:ilvl w:val="3"/>
          <w:numId w:val="31"/>
        </w:numPr>
        <w:spacing w:after="60" w:before="60" w:lineRule="auto"/>
        <w:ind w:left="1276" w:hanging="284.00000000000006"/>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le parti del servizio o della fornitura, ovvero la percentuale in caso di servizio/forniture indivisibili, che saranno eseguite dai singoli operatori economici aggregati in rete.</w:t>
      </w:r>
    </w:p>
    <w:p w:rsidR="00000000" w:rsidDel="00000000" w:rsidP="00000000" w:rsidRDefault="00000000" w:rsidRPr="00000000" w14:paraId="00000286">
      <w:pPr>
        <w:pStyle w:val="Heading1"/>
        <w:rPr/>
      </w:pPr>
      <w:bookmarkStart w:colFirst="0" w:colLast="0" w:name="_3ygebqi" w:id="40"/>
      <w:bookmarkEnd w:id="40"/>
      <w:r w:rsidDel="00000000" w:rsidR="00000000" w:rsidRPr="00000000">
        <w:rPr>
          <w:rtl w:val="0"/>
        </w:rPr>
        <w:t xml:space="preserve">16. OFFERTA TECNICA</w:t>
      </w:r>
    </w:p>
    <w:p w:rsidR="00000000" w:rsidDel="00000000" w:rsidP="00000000" w:rsidRDefault="00000000" w:rsidRPr="00000000" w14:paraId="00000287">
      <w:pPr>
        <w:spacing w:after="60" w:before="60" w:lineRule="auto"/>
        <w:rPr/>
      </w:pPr>
      <w:bookmarkStart w:colFirst="0" w:colLast="0" w:name="_2dlolyb" w:id="41"/>
      <w:bookmarkEnd w:id="41"/>
      <w:r w:rsidDel="00000000" w:rsidR="00000000" w:rsidRPr="00000000">
        <w:rPr>
          <w:rFonts w:ascii="Titillium" w:cs="Titillium" w:eastAsia="Titillium" w:hAnsi="Titillium"/>
          <w:sz w:val="18"/>
          <w:szCs w:val="18"/>
          <w:rtl w:val="0"/>
        </w:rPr>
        <w:t xml:space="preserve">L’operatore economico inserisce </w:t>
      </w:r>
      <w:r w:rsidDel="00000000" w:rsidR="00000000" w:rsidRPr="00000000">
        <w:rPr>
          <w:rFonts w:ascii="Titillium" w:cs="Titillium" w:eastAsia="Titillium" w:hAnsi="Titillium"/>
          <w:sz w:val="18"/>
          <w:szCs w:val="18"/>
          <w:rtl w:val="0"/>
        </w:rPr>
        <w:t xml:space="preserve">per ogni singolo lotto la documentazione relativa all’offerta tecnica nella Piattaforma secondo le seguenti modalità previste per la domanda di partecipazione</w:t>
      </w:r>
      <w:r w:rsidDel="00000000" w:rsidR="00000000" w:rsidRPr="00000000">
        <w:rPr>
          <w:rFonts w:ascii="Titillium" w:cs="Titillium" w:eastAsia="Titillium" w:hAnsi="Titillium"/>
          <w:i w:val="1"/>
          <w:sz w:val="18"/>
          <w:szCs w:val="18"/>
          <w:rtl w:val="0"/>
        </w:rPr>
        <w:t xml:space="preserve">, </w:t>
      </w:r>
      <w:r w:rsidDel="00000000" w:rsidR="00000000" w:rsidRPr="00000000">
        <w:rPr>
          <w:rFonts w:ascii="Titillium" w:cs="Titillium" w:eastAsia="Titillium" w:hAnsi="Titillium"/>
          <w:sz w:val="18"/>
          <w:szCs w:val="18"/>
          <w:rtl w:val="0"/>
        </w:rPr>
        <w:t xml:space="preserve">a pena di inammissibilità dell’offerta. L’offerta è firmata secondo le modalità previste al precedente punto 15.1 e deve contenere, a pena di esclusione, i seguenti documenti:</w:t>
      </w:r>
      <w:r w:rsidDel="00000000" w:rsidR="00000000" w:rsidRPr="00000000">
        <w:rPr>
          <w:rtl w:val="0"/>
        </w:rPr>
      </w:r>
    </w:p>
    <w:p w:rsidR="00000000" w:rsidDel="00000000" w:rsidP="00000000" w:rsidRDefault="00000000" w:rsidRPr="00000000" w14:paraId="00000288">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60" w:before="60" w:line="276" w:lineRule="auto"/>
        <w:ind w:left="709" w:right="0" w:hanging="360"/>
        <w:jc w:val="both"/>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relazione tecnica dei servizi</w:t>
      </w:r>
      <w:r w:rsidDel="00000000" w:rsidR="00000000" w:rsidRPr="00000000">
        <w:rPr>
          <w:rFonts w:ascii="Titillium" w:cs="Titillium" w:eastAsia="Titillium" w:hAnsi="Titillium"/>
          <w:sz w:val="18"/>
          <w:szCs w:val="18"/>
          <w:rtl w:val="0"/>
        </w:rPr>
        <w:t xml:space="preserve"> </w:t>
      </w: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 offerti suddivisa in paragrafi numerati </w:t>
      </w:r>
      <w:r w:rsidDel="00000000" w:rsidR="00000000" w:rsidRPr="00000000">
        <w:rPr>
          <w:rFonts w:ascii="Titillium" w:cs="Titillium" w:eastAsia="Titillium" w:hAnsi="Titillium"/>
          <w:sz w:val="18"/>
          <w:szCs w:val="18"/>
          <w:rtl w:val="0"/>
        </w:rPr>
        <w:t xml:space="preserve">da 1 a 11 corrispondenti agli elementi di valutazione di cui al successivo punto 18 del presente disciplinare di gara, con particolare evidenziazione degli elementi utili per l’attribuzione dei punteggi tecnici</w:t>
      </w: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w:t>
      </w:r>
    </w:p>
    <w:p w:rsidR="00000000" w:rsidDel="00000000" w:rsidP="00000000" w:rsidRDefault="00000000" w:rsidRPr="00000000" w14:paraId="00000289">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60" w:before="60" w:line="276" w:lineRule="auto"/>
        <w:ind w:left="709" w:right="0" w:hanging="360"/>
        <w:jc w:val="both"/>
        <w:rPr>
          <w:rFonts w:ascii="Titillium" w:cs="Titillium" w:eastAsia="Titillium" w:hAnsi="Titillium"/>
        </w:rPr>
      </w:pPr>
      <w:r w:rsidDel="00000000" w:rsidR="00000000" w:rsidRPr="00000000">
        <w:rPr>
          <w:rFonts w:ascii="Arial" w:cs="Arial" w:eastAsia="Arial" w:hAnsi="Arial"/>
          <w:sz w:val="18"/>
          <w:szCs w:val="18"/>
          <w:rtl w:val="0"/>
        </w:rPr>
        <w:t xml:space="preserve">schede illustrative delle caratteristiche delle bevande calde offerte, caffè, cappuccino, cioccolata, latte, tè ed eventualmente caffè del commercio equo solidale, da cui si evinca il peso in grammi del prodotto in polvere contenuto per erogazione (rif. Art. 13 cap. spec.) ovvero dichiarazione del Fornitore con la medesima descrizione</w:t>
      </w:r>
      <w:r w:rsidDel="00000000" w:rsidR="00000000" w:rsidRPr="00000000">
        <w:rPr>
          <w:rtl w:val="0"/>
        </w:rPr>
      </w:r>
    </w:p>
    <w:p w:rsidR="00000000" w:rsidDel="00000000" w:rsidP="00000000" w:rsidRDefault="00000000" w:rsidRPr="00000000" w14:paraId="0000028A">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60" w:before="60" w:line="276" w:lineRule="auto"/>
        <w:ind w:left="709" w:right="0" w:hanging="360"/>
        <w:jc w:val="both"/>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in caso di avvalimento premiale, contratto di avvalimento</w:t>
      </w:r>
      <w:r w:rsidDel="00000000" w:rsidR="00000000" w:rsidRPr="00000000">
        <w:rPr>
          <w:rFonts w:ascii="Titillium" w:cs="Titillium" w:eastAsia="Titillium" w:hAnsi="Titillium"/>
          <w:sz w:val="18"/>
          <w:szCs w:val="18"/>
          <w:rtl w:val="0"/>
        </w:rPr>
        <w:t xml:space="preserve">. </w:t>
      </w:r>
      <w:r w:rsidDel="00000000" w:rsidR="00000000" w:rsidRPr="00000000">
        <w:rPr>
          <w:rtl w:val="0"/>
        </w:rPr>
      </w:r>
    </w:p>
    <w:p w:rsidR="00000000" w:rsidDel="00000000" w:rsidP="00000000" w:rsidRDefault="00000000" w:rsidRPr="00000000" w14:paraId="0000028B">
      <w:pPr>
        <w:spacing w:after="60" w:before="60" w:lineRule="auto"/>
        <w:rPr>
          <w:highlight w:val="white"/>
        </w:rPr>
      </w:pPr>
      <w:r w:rsidDel="00000000" w:rsidR="00000000" w:rsidRPr="00000000">
        <w:rPr>
          <w:rFonts w:ascii="Titillium" w:cs="Titillium" w:eastAsia="Titillium" w:hAnsi="Titillium"/>
          <w:sz w:val="18"/>
          <w:szCs w:val="18"/>
          <w:rtl w:val="0"/>
        </w:rPr>
        <w:t xml:space="preserve">L’offerta tecnica deve rispettare, pena l’esclusione dalla procedura di gara, le caratteristiche minime stabilite nei documenti di gara, nel ris</w:t>
      </w:r>
      <w:r w:rsidDel="00000000" w:rsidR="00000000" w:rsidRPr="00000000">
        <w:rPr>
          <w:rFonts w:ascii="Titillium" w:cs="Titillium" w:eastAsia="Titillium" w:hAnsi="Titillium"/>
          <w:sz w:val="18"/>
          <w:szCs w:val="18"/>
          <w:highlight w:val="white"/>
          <w:rtl w:val="0"/>
        </w:rPr>
        <w:t xml:space="preserve">petto del principio di equivalenza.</w:t>
      </w:r>
      <w:r w:rsidDel="00000000" w:rsidR="00000000" w:rsidRPr="00000000">
        <w:rPr>
          <w:rtl w:val="0"/>
        </w:rPr>
      </w:r>
    </w:p>
    <w:p w:rsidR="00000000" w:rsidDel="00000000" w:rsidP="00000000" w:rsidRDefault="00000000" w:rsidRPr="00000000" w14:paraId="0000028C">
      <w:pPr>
        <w:spacing w:after="60" w:before="60" w:lineRule="auto"/>
        <w:rPr>
          <w:rFonts w:ascii="Titillium" w:cs="Titillium" w:eastAsia="Titillium" w:hAnsi="Titillium"/>
          <w:b w:val="1"/>
          <w:i w:val="1"/>
          <w:sz w:val="18"/>
          <w:szCs w:val="18"/>
          <w:highlight w:val="white"/>
        </w:rPr>
      </w:pPr>
      <w:r w:rsidDel="00000000" w:rsidR="00000000" w:rsidRPr="00000000">
        <w:rPr>
          <w:rFonts w:ascii="Titillium" w:cs="Titillium" w:eastAsia="Titillium" w:hAnsi="Titillium"/>
          <w:sz w:val="18"/>
          <w:szCs w:val="18"/>
          <w:highlight w:val="white"/>
          <w:rtl w:val="0"/>
        </w:rPr>
        <w:t xml:space="preserve">L’operatore economico che adotta un CCNL diverso da quello indicato all’articolo 3 inserisce la dichiarazione di equivalenza delle tutele e l’eventuale documentazione probatoria sulla equivalenza del proprio CCNL nella sezione della piattaforma relativa all’offerta tecnica</w:t>
      </w:r>
      <w:r w:rsidDel="00000000" w:rsidR="00000000" w:rsidRPr="00000000">
        <w:rPr>
          <w:rFonts w:ascii="Titillium" w:cs="Titillium" w:eastAsia="Titillium" w:hAnsi="Titillium"/>
          <w:b w:val="1"/>
          <w:i w:val="1"/>
          <w:sz w:val="18"/>
          <w:szCs w:val="18"/>
          <w:highlight w:val="white"/>
          <w:rtl w:val="0"/>
        </w:rPr>
        <w:t xml:space="preserve">. </w:t>
      </w:r>
    </w:p>
    <w:p w:rsidR="00000000" w:rsidDel="00000000" w:rsidP="00000000" w:rsidRDefault="00000000" w:rsidRPr="00000000" w14:paraId="0000028D">
      <w:pPr>
        <w:spacing w:after="60" w:before="60" w:lineRule="auto"/>
        <w:rPr>
          <w:rFonts w:ascii="Titillium" w:cs="Titillium" w:eastAsia="Titillium" w:hAnsi="Titillium"/>
          <w:color w:val="000000"/>
          <w:sz w:val="18"/>
          <w:szCs w:val="18"/>
        </w:rPr>
      </w:pPr>
      <w:r w:rsidDel="00000000" w:rsidR="00000000" w:rsidRPr="00000000">
        <w:rPr>
          <w:rFonts w:ascii="Titillium" w:cs="Titillium" w:eastAsia="Titillium" w:hAnsi="Titillium"/>
          <w:color w:val="000000"/>
          <w:sz w:val="18"/>
          <w:szCs w:val="18"/>
          <w:rtl w:val="0"/>
        </w:rPr>
        <w:t xml:space="preserve">L’operatore economico allega una dichiarazione firmata contenente i dettagli dell’offerta coperti da riservatezza, argomentando in modo congruo le ragioni per le quali eventuali parti dell’offerta sono da segretare. Il concorrente a tal fine allega anche una copia firmata della relazione tecnica adeguatamente oscurata nelle parti ritenute costituenti segreti tecnici e commerciali. Resta ferma, la facoltà della stazione appaltante di valutare la fondatezza delle motivazioni addotte e di chiedere al concorrente di dimostrare la tangibile sussistenza di eventuali segreti tecnici e commerciali.</w:t>
      </w:r>
    </w:p>
    <w:p w:rsidR="00000000" w:rsidDel="00000000" w:rsidP="00000000" w:rsidRDefault="00000000" w:rsidRPr="00000000" w14:paraId="0000028E">
      <w:pPr>
        <w:pStyle w:val="Heading1"/>
        <w:rPr/>
      </w:pPr>
      <w:bookmarkStart w:colFirst="0" w:colLast="0" w:name="_sqyw64" w:id="42"/>
      <w:bookmarkEnd w:id="42"/>
      <w:r w:rsidDel="00000000" w:rsidR="00000000" w:rsidRPr="00000000">
        <w:rPr>
          <w:rtl w:val="0"/>
        </w:rPr>
        <w:t xml:space="preserve">17. OFFERTA ECONOMICA</w:t>
      </w:r>
    </w:p>
    <w:p w:rsidR="00000000" w:rsidDel="00000000" w:rsidP="00000000" w:rsidRDefault="00000000" w:rsidRPr="00000000" w14:paraId="0000028F">
      <w:pPr>
        <w:spacing w:after="60" w:before="60" w:lineRule="auto"/>
        <w:ind w:hanging="11"/>
        <w:rPr/>
      </w:pPr>
      <w:bookmarkStart w:colFirst="0" w:colLast="0" w:name="_3cqmetx" w:id="43"/>
      <w:bookmarkEnd w:id="43"/>
      <w:r w:rsidDel="00000000" w:rsidR="00000000" w:rsidRPr="00000000">
        <w:rPr>
          <w:rFonts w:ascii="Titillium" w:cs="Titillium" w:eastAsia="Titillium" w:hAnsi="Titillium"/>
          <w:sz w:val="18"/>
          <w:szCs w:val="18"/>
          <w:rtl w:val="0"/>
        </w:rPr>
        <w:t xml:space="preserve">L’operatore economico inserisce per ogni singolo lotto  la documentazione economica, nella Piattaforma secondo le seguenti modalità </w:t>
      </w:r>
      <w:hyperlink r:id="rId26">
        <w:r w:rsidDel="00000000" w:rsidR="00000000" w:rsidRPr="00000000">
          <w:rPr>
            <w:rFonts w:ascii="Arial" w:cs="Arial" w:eastAsia="Arial" w:hAnsi="Arial"/>
            <w:color w:val="000080"/>
            <w:sz w:val="18"/>
            <w:szCs w:val="18"/>
            <w:u w:val="single"/>
            <w:rtl w:val="0"/>
          </w:rPr>
          <w:t xml:space="preserve">http://intercenter.regione.emilia-romagna.it/agenzia/utilizzo-del-sistema/guide/</w:t>
        </w:r>
      </w:hyperlink>
      <w:r w:rsidDel="00000000" w:rsidR="00000000" w:rsidRPr="00000000">
        <w:rPr>
          <w:rFonts w:ascii="Titillium" w:cs="Titillium" w:eastAsia="Titillium" w:hAnsi="Titillium"/>
          <w:i w:val="1"/>
          <w:sz w:val="18"/>
          <w:szCs w:val="18"/>
          <w:rtl w:val="0"/>
        </w:rPr>
        <w:t xml:space="preserve">.</w:t>
        <w:br w:type="textWrapping"/>
      </w:r>
      <w:r w:rsidDel="00000000" w:rsidR="00000000" w:rsidRPr="00000000">
        <w:rPr>
          <w:rFonts w:ascii="Titillium" w:cs="Titillium" w:eastAsia="Titillium" w:hAnsi="Titillium"/>
          <w:sz w:val="18"/>
          <w:szCs w:val="18"/>
          <w:rtl w:val="0"/>
        </w:rPr>
        <w:t xml:space="preserve">L’offerta economica firmata secondo le modalità di cui al precedente articolo 15.1, deve indicare, a pena di esclusione, i seguenti elementi:</w:t>
      </w:r>
      <w:r w:rsidDel="00000000" w:rsidR="00000000" w:rsidRPr="00000000">
        <w:rPr>
          <w:rtl w:val="0"/>
        </w:rPr>
      </w:r>
    </w:p>
    <w:p w:rsidR="00000000" w:rsidDel="00000000" w:rsidP="00000000" w:rsidRDefault="00000000" w:rsidRPr="00000000" w14:paraId="00000290">
      <w:pPr>
        <w:numPr>
          <w:ilvl w:val="2"/>
          <w:numId w:val="18"/>
        </w:numPr>
        <w:spacing w:after="60" w:before="60" w:lineRule="auto"/>
        <w:ind w:left="284" w:hanging="284"/>
        <w:rPr/>
      </w:pPr>
      <w:r w:rsidDel="00000000" w:rsidR="00000000" w:rsidRPr="00000000">
        <w:rPr>
          <w:rFonts w:ascii="Titillium" w:cs="Titillium" w:eastAsia="Titillium" w:hAnsi="Titillium"/>
          <w:sz w:val="18"/>
          <w:szCs w:val="18"/>
          <w:rtl w:val="0"/>
        </w:rPr>
        <w:t xml:space="preserve">in corrispondenza del campo “prezzo offerto per u.m. IVA esclusa”  andrà indicato il </w:t>
      </w:r>
      <w:r w:rsidDel="00000000" w:rsidR="00000000" w:rsidRPr="00000000">
        <w:rPr>
          <w:rFonts w:ascii="Titillium" w:cs="Titillium" w:eastAsia="Titillium" w:hAnsi="Titillium"/>
          <w:sz w:val="18"/>
          <w:szCs w:val="18"/>
          <w:rtl w:val="0"/>
        </w:rPr>
        <w:t xml:space="preserve">VALORE A BASE D'ASTA IVA ESCLUSA </w:t>
      </w:r>
      <w:r w:rsidDel="00000000" w:rsidR="00000000" w:rsidRPr="00000000">
        <w:rPr>
          <w:rFonts w:ascii="Titillium" w:cs="Titillium" w:eastAsia="Titillium" w:hAnsi="Titillium"/>
          <w:sz w:val="18"/>
          <w:szCs w:val="18"/>
          <w:rtl w:val="0"/>
        </w:rPr>
        <w:t xml:space="preserve">;</w:t>
      </w:r>
    </w:p>
    <w:p w:rsidR="00000000" w:rsidDel="00000000" w:rsidP="00000000" w:rsidRDefault="00000000" w:rsidRPr="00000000" w14:paraId="00000291">
      <w:pPr>
        <w:numPr>
          <w:ilvl w:val="2"/>
          <w:numId w:val="18"/>
        </w:numPr>
        <w:spacing w:after="60" w:before="60" w:lineRule="auto"/>
        <w:ind w:left="284" w:hanging="284"/>
        <w:rPr/>
      </w:pPr>
      <w:r w:rsidDel="00000000" w:rsidR="00000000" w:rsidRPr="00000000">
        <w:rPr>
          <w:rFonts w:ascii="Titillium" w:cs="Titillium" w:eastAsia="Titillium" w:hAnsi="Titillium"/>
          <w:sz w:val="18"/>
          <w:szCs w:val="18"/>
          <w:rtl w:val="0"/>
        </w:rPr>
        <w:t xml:space="preserve">la stima dei costi aziendali relativi alla salute ed alla sicurezza sui luoghi di lavoro</w:t>
      </w:r>
    </w:p>
    <w:p w:rsidR="00000000" w:rsidDel="00000000" w:rsidP="00000000" w:rsidRDefault="00000000" w:rsidRPr="00000000" w14:paraId="00000292">
      <w:pPr>
        <w:numPr>
          <w:ilvl w:val="2"/>
          <w:numId w:val="18"/>
        </w:numPr>
        <w:spacing w:after="60" w:before="60" w:lineRule="auto"/>
        <w:ind w:left="284" w:hanging="284"/>
        <w:rPr/>
      </w:pPr>
      <w:r w:rsidDel="00000000" w:rsidR="00000000" w:rsidRPr="00000000">
        <w:rPr>
          <w:rFonts w:ascii="Titillium" w:cs="Titillium" w:eastAsia="Titillium" w:hAnsi="Titillium"/>
          <w:sz w:val="18"/>
          <w:szCs w:val="18"/>
          <w:rtl w:val="0"/>
        </w:rPr>
        <w:t xml:space="preserve">in corrispondenza del campo "Dichiarazione di offerta economica” si deve caricare l’allegato 6 compilato</w:t>
      </w:r>
      <w:r w:rsidDel="00000000" w:rsidR="00000000" w:rsidRPr="00000000">
        <w:rPr>
          <w:rFonts w:ascii="Titillium" w:cs="Titillium" w:eastAsia="Titillium" w:hAnsi="Titillium"/>
          <w:sz w:val="18"/>
          <w:szCs w:val="18"/>
          <w:rtl w:val="0"/>
        </w:rPr>
        <w:t xml:space="preserve"> e firmato per ogni lotto. </w:t>
      </w:r>
    </w:p>
    <w:p w:rsidR="00000000" w:rsidDel="00000000" w:rsidP="00000000" w:rsidRDefault="00000000" w:rsidRPr="00000000" w14:paraId="00000293">
      <w:pPr>
        <w:spacing w:after="60" w:before="60" w:lineRule="auto"/>
        <w:ind w:left="-283.46456692913375" w:firstLine="0"/>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Nello schema di dichiarazione d’offerta economica (allegato 6) messo a disposizione dell’amministrazione per ogni lotto andrà indicato:</w:t>
      </w:r>
    </w:p>
    <w:p w:rsidR="00000000" w:rsidDel="00000000" w:rsidP="00000000" w:rsidRDefault="00000000" w:rsidRPr="00000000" w14:paraId="00000294">
      <w:pPr>
        <w:numPr>
          <w:ilvl w:val="0"/>
          <w:numId w:val="13"/>
        </w:numPr>
        <w:spacing w:after="60" w:before="60" w:lineRule="auto"/>
        <w:ind w:left="283.46456692913375" w:hanging="283.46456692913375"/>
        <w:rPr>
          <w:rFonts w:ascii="Titillium" w:cs="Titillium" w:eastAsia="Titillium" w:hAnsi="Titillium"/>
          <w:sz w:val="18"/>
          <w:szCs w:val="18"/>
        </w:rPr>
      </w:pPr>
      <w:r w:rsidDel="00000000" w:rsidR="00000000" w:rsidRPr="00000000">
        <w:rPr>
          <w:rFonts w:ascii="Titillium" w:cs="Titillium" w:eastAsia="Titillium" w:hAnsi="Titillium"/>
          <w:b w:val="1"/>
          <w:sz w:val="18"/>
          <w:szCs w:val="18"/>
          <w:rtl w:val="0"/>
        </w:rPr>
        <w:t xml:space="preserve">alla Voce 1:</w:t>
      </w:r>
      <w:r w:rsidDel="00000000" w:rsidR="00000000" w:rsidRPr="00000000">
        <w:rPr>
          <w:rFonts w:ascii="Titillium" w:cs="Titillium" w:eastAsia="Titillium" w:hAnsi="Titillium"/>
          <w:sz w:val="18"/>
          <w:szCs w:val="18"/>
          <w:rtl w:val="0"/>
        </w:rPr>
        <w:t xml:space="preserve"> </w:t>
      </w:r>
    </w:p>
    <w:p w:rsidR="00000000" w:rsidDel="00000000" w:rsidP="00000000" w:rsidRDefault="00000000" w:rsidRPr="00000000" w14:paraId="00000295">
      <w:pPr>
        <w:spacing w:after="60" w:before="60" w:lineRule="auto"/>
        <w:ind w:left="708.6614173228347" w:firstLine="0"/>
        <w:rPr>
          <w:rFonts w:ascii="Arial" w:cs="Arial" w:eastAsia="Arial" w:hAnsi="Arial"/>
          <w:sz w:val="22"/>
          <w:szCs w:val="22"/>
        </w:rPr>
      </w:pPr>
      <w:r w:rsidDel="00000000" w:rsidR="00000000" w:rsidRPr="00000000">
        <w:rPr>
          <w:rFonts w:ascii="Titillium" w:cs="Titillium" w:eastAsia="Titillium" w:hAnsi="Titillium"/>
          <w:sz w:val="18"/>
          <w:szCs w:val="18"/>
          <w:rtl w:val="0"/>
        </w:rPr>
        <w:t xml:space="preserve">✦ l’ </w:t>
      </w:r>
      <w:r w:rsidDel="00000000" w:rsidR="00000000" w:rsidRPr="00000000">
        <w:rPr>
          <w:rFonts w:ascii="Arial" w:cs="Arial" w:eastAsia="Arial" w:hAnsi="Arial"/>
          <w:sz w:val="18"/>
          <w:szCs w:val="18"/>
          <w:rtl w:val="0"/>
        </w:rPr>
        <w:t xml:space="preserve">Incremento del canone annuo offerto rispetto al canone a base di gara indicato da Arpae (colonna C)</w:t>
      </w:r>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96">
      <w:pPr>
        <w:spacing w:after="60" w:before="60" w:lineRule="auto"/>
        <w:ind w:left="992.1259842519685" w:hanging="283.46456692913375"/>
        <w:rPr>
          <w:rFonts w:ascii="Arial" w:cs="Arial" w:eastAsia="Arial" w:hAnsi="Arial"/>
          <w:sz w:val="18"/>
          <w:szCs w:val="18"/>
        </w:rPr>
      </w:pPr>
      <w:r w:rsidDel="00000000" w:rsidR="00000000" w:rsidRPr="00000000">
        <w:rPr>
          <w:rFonts w:ascii="Titillium" w:cs="Titillium" w:eastAsia="Titillium" w:hAnsi="Titillium"/>
          <w:sz w:val="18"/>
          <w:szCs w:val="18"/>
          <w:rtl w:val="0"/>
        </w:rPr>
        <w:t xml:space="preserve">✦ il </w:t>
      </w:r>
      <w:r w:rsidDel="00000000" w:rsidR="00000000" w:rsidRPr="00000000">
        <w:rPr>
          <w:rFonts w:ascii="Arial" w:cs="Arial" w:eastAsia="Arial" w:hAnsi="Arial"/>
          <w:sz w:val="18"/>
          <w:szCs w:val="18"/>
          <w:rtl w:val="0"/>
        </w:rPr>
        <w:t xml:space="preserve">totale del canone annuo offerto (dato dalla somma del canone annuo totale indicato da Arpae per il    numero dei distributori di ciascun lotto e l’incremento al canone annuo offerto) (colonna D);</w:t>
      </w:r>
    </w:p>
    <w:p w:rsidR="00000000" w:rsidDel="00000000" w:rsidP="00000000" w:rsidRDefault="00000000" w:rsidRPr="00000000" w14:paraId="00000297">
      <w:pPr>
        <w:spacing w:after="60" w:before="60" w:lineRule="auto"/>
        <w:ind w:left="992.1259842519685" w:hanging="283.46456692913375"/>
        <w:rPr>
          <w:rFonts w:ascii="Arial" w:cs="Arial" w:eastAsia="Arial" w:hAnsi="Arial"/>
          <w:sz w:val="18"/>
          <w:szCs w:val="18"/>
        </w:rPr>
      </w:pPr>
      <w:r w:rsidDel="00000000" w:rsidR="00000000" w:rsidRPr="00000000">
        <w:rPr>
          <w:rFonts w:ascii="Titillium" w:cs="Titillium" w:eastAsia="Titillium" w:hAnsi="Titillium"/>
          <w:sz w:val="18"/>
          <w:szCs w:val="18"/>
          <w:rtl w:val="0"/>
        </w:rPr>
        <w:t xml:space="preserve">✦ il </w:t>
      </w:r>
      <w:r w:rsidDel="00000000" w:rsidR="00000000" w:rsidRPr="00000000">
        <w:rPr>
          <w:rFonts w:ascii="Arial" w:cs="Arial" w:eastAsia="Arial" w:hAnsi="Arial"/>
          <w:sz w:val="18"/>
          <w:szCs w:val="18"/>
          <w:rtl w:val="0"/>
        </w:rPr>
        <w:t xml:space="preserve">totale del canone quadriennale offerto (dato dal totale canone annuo offerto per il numero di anni di durata della concessione  (quattro) (colonna F);</w:t>
      </w:r>
    </w:p>
    <w:p w:rsidR="00000000" w:rsidDel="00000000" w:rsidP="00000000" w:rsidRDefault="00000000" w:rsidRPr="00000000" w14:paraId="00000298">
      <w:pPr>
        <w:numPr>
          <w:ilvl w:val="0"/>
          <w:numId w:val="21"/>
        </w:numPr>
        <w:spacing w:after="60" w:before="60" w:lineRule="auto"/>
        <w:ind w:left="425.19685039370086" w:hanging="360"/>
        <w:rPr>
          <w:rFonts w:ascii="Arial" w:cs="Arial" w:eastAsia="Arial" w:hAnsi="Arial"/>
          <w:sz w:val="18"/>
          <w:szCs w:val="18"/>
        </w:rPr>
      </w:pPr>
      <w:r w:rsidDel="00000000" w:rsidR="00000000" w:rsidRPr="00000000">
        <w:rPr>
          <w:rFonts w:ascii="Arial" w:cs="Arial" w:eastAsia="Arial" w:hAnsi="Arial"/>
          <w:b w:val="1"/>
          <w:sz w:val="18"/>
          <w:szCs w:val="18"/>
          <w:rtl w:val="0"/>
        </w:rPr>
        <w:t xml:space="preserve">alla Voce 2:</w:t>
      </w:r>
      <w:r w:rsidDel="00000000" w:rsidR="00000000" w:rsidRPr="00000000">
        <w:rPr>
          <w:rFonts w:ascii="Arial" w:cs="Arial" w:eastAsia="Arial" w:hAnsi="Arial"/>
          <w:sz w:val="18"/>
          <w:szCs w:val="18"/>
          <w:rtl w:val="0"/>
        </w:rPr>
        <w:t xml:space="preserve"> </w:t>
      </w:r>
    </w:p>
    <w:p w:rsidR="00000000" w:rsidDel="00000000" w:rsidP="00000000" w:rsidRDefault="00000000" w:rsidRPr="00000000" w14:paraId="00000299">
      <w:pPr>
        <w:spacing w:after="60" w:before="60" w:lineRule="auto"/>
        <w:ind w:left="992.1259842519685" w:hanging="283.46456692913375"/>
        <w:rPr>
          <w:rFonts w:ascii="Arial" w:cs="Arial" w:eastAsia="Arial" w:hAnsi="Arial"/>
          <w:sz w:val="18"/>
          <w:szCs w:val="18"/>
        </w:rPr>
      </w:pPr>
      <w:r w:rsidDel="00000000" w:rsidR="00000000" w:rsidRPr="00000000">
        <w:rPr>
          <w:rFonts w:ascii="Titillium" w:cs="Titillium" w:eastAsia="Titillium" w:hAnsi="Titillium"/>
          <w:sz w:val="18"/>
          <w:szCs w:val="18"/>
          <w:rtl w:val="0"/>
        </w:rPr>
        <w:t xml:space="preserve">✦ i prezzi offerti</w:t>
      </w:r>
      <w:r w:rsidDel="00000000" w:rsidR="00000000" w:rsidRPr="00000000">
        <w:rPr>
          <w:rFonts w:ascii="Arial" w:cs="Arial" w:eastAsia="Arial" w:hAnsi="Arial"/>
          <w:sz w:val="18"/>
          <w:szCs w:val="18"/>
          <w:rtl w:val="0"/>
        </w:rPr>
        <w:t xml:space="preserve"> (IVA inclusa) per i prodotti erogati (colonna B);</w:t>
      </w:r>
    </w:p>
    <w:p w:rsidR="00000000" w:rsidDel="00000000" w:rsidP="00000000" w:rsidRDefault="00000000" w:rsidRPr="00000000" w14:paraId="0000029A">
      <w:pPr>
        <w:spacing w:after="60" w:before="60" w:lineRule="auto"/>
        <w:ind w:left="850.3937007874017" w:hanging="141.7322834645671"/>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 il ribasso ponderato dei singoli prodotti, in centesimi di euro (colonna D), </w:t>
      </w:r>
      <w:r w:rsidDel="00000000" w:rsidR="00000000" w:rsidRPr="00000000">
        <w:rPr>
          <w:rFonts w:ascii="Arial" w:cs="Arial" w:eastAsia="Arial" w:hAnsi="Arial"/>
          <w:sz w:val="18"/>
          <w:szCs w:val="18"/>
          <w:rtl w:val="0"/>
        </w:rPr>
        <w:t xml:space="preserve">determinato dalla differenza tra il prezzo indicato da Arpae e il prezzo offerto, ponderata con il peso attribuito da ARPAE per lo specifico prodotto</w:t>
      </w:r>
      <w:r w:rsidDel="00000000" w:rsidR="00000000" w:rsidRPr="00000000">
        <w:rPr>
          <w:rFonts w:ascii="Titillium" w:cs="Titillium" w:eastAsia="Titillium" w:hAnsi="Titillium"/>
          <w:sz w:val="18"/>
          <w:szCs w:val="18"/>
          <w:rtl w:val="0"/>
        </w:rPr>
        <w:t xml:space="preserve">;</w:t>
      </w:r>
    </w:p>
    <w:p w:rsidR="00000000" w:rsidDel="00000000" w:rsidP="00000000" w:rsidRDefault="00000000" w:rsidRPr="00000000" w14:paraId="0000029B">
      <w:pPr>
        <w:spacing w:after="60" w:before="60" w:lineRule="auto"/>
        <w:ind w:left="850.3937007874017" w:hanging="141.7322834645671"/>
        <w:rPr>
          <w:rFonts w:ascii="Titillium" w:cs="Titillium" w:eastAsia="Titillium" w:hAnsi="Titillium"/>
          <w:sz w:val="14"/>
          <w:szCs w:val="14"/>
        </w:rPr>
      </w:pPr>
      <w:r w:rsidDel="00000000" w:rsidR="00000000" w:rsidRPr="00000000">
        <w:rPr>
          <w:rFonts w:ascii="Titillium" w:cs="Titillium" w:eastAsia="Titillium" w:hAnsi="Titillium"/>
          <w:sz w:val="18"/>
          <w:szCs w:val="18"/>
          <w:rtl w:val="0"/>
        </w:rPr>
        <w:t xml:space="preserve">✦ </w:t>
      </w:r>
      <w:r w:rsidDel="00000000" w:rsidR="00000000" w:rsidRPr="00000000">
        <w:rPr>
          <w:rFonts w:ascii="Arial" w:cs="Arial" w:eastAsia="Arial" w:hAnsi="Arial"/>
          <w:sz w:val="18"/>
          <w:szCs w:val="18"/>
          <w:rtl w:val="0"/>
        </w:rPr>
        <w:t xml:space="preserve">Il ribasso ponderato totale (espresso in centesimi di euro) determinato dalla sommatoria dei ribassi ponderati offerti per ogni prodotto</w:t>
      </w:r>
      <w:r w:rsidDel="00000000" w:rsidR="00000000" w:rsidRPr="00000000">
        <w:rPr>
          <w:rFonts w:ascii="Arial" w:cs="Arial" w:eastAsia="Arial" w:hAnsi="Arial"/>
          <w:sz w:val="18"/>
          <w:szCs w:val="18"/>
          <w:rtl w:val="0"/>
        </w:rPr>
        <w:t xml:space="preserve"> (ultima riga della tabella Voce 2 dello schema dichiarazione d’offerta).</w:t>
      </w:r>
      <w:r w:rsidDel="00000000" w:rsidR="00000000" w:rsidRPr="00000000">
        <w:rPr>
          <w:rtl w:val="0"/>
        </w:rPr>
      </w:r>
    </w:p>
    <w:p w:rsidR="00000000" w:rsidDel="00000000" w:rsidP="00000000" w:rsidRDefault="00000000" w:rsidRPr="00000000" w14:paraId="0000029C">
      <w:pPr>
        <w:spacing w:after="60" w:before="60" w:lineRule="auto"/>
        <w:ind w:left="720" w:firstLine="0"/>
        <w:rPr>
          <w:rFonts w:ascii="Titillium" w:cs="Titillium" w:eastAsia="Titillium" w:hAnsi="Titillium"/>
          <w:sz w:val="18"/>
          <w:szCs w:val="18"/>
        </w:rPr>
      </w:pPr>
      <w:r w:rsidDel="00000000" w:rsidR="00000000" w:rsidRPr="00000000">
        <w:rPr>
          <w:rtl w:val="0"/>
        </w:rPr>
      </w:r>
    </w:p>
    <w:p w:rsidR="00000000" w:rsidDel="00000000" w:rsidP="00000000" w:rsidRDefault="00000000" w:rsidRPr="00000000" w14:paraId="0000029D">
      <w:pPr>
        <w:spacing w:line="360" w:lineRule="auto"/>
        <w:rPr>
          <w:rFonts w:ascii="Arial" w:cs="Arial" w:eastAsia="Arial" w:hAnsi="Arial"/>
          <w:b w:val="1"/>
          <w:sz w:val="18"/>
          <w:szCs w:val="18"/>
          <w:u w:val="single"/>
        </w:rPr>
      </w:pPr>
      <w:r w:rsidDel="00000000" w:rsidR="00000000" w:rsidRPr="00000000">
        <w:rPr>
          <w:rFonts w:ascii="Arial" w:cs="Arial" w:eastAsia="Arial" w:hAnsi="Arial"/>
          <w:b w:val="1"/>
          <w:sz w:val="18"/>
          <w:szCs w:val="18"/>
          <w:u w:val="single"/>
          <w:rtl w:val="0"/>
        </w:rPr>
        <w:t xml:space="preserve">I prezzi indicati, da intendersi al lordo di IVA e in centesimi di euro, non potranno essere superiori a quelli massimi indicati per ciascun prodotto nella colonna A dello schema dichiarazione d’offerta. </w:t>
      </w:r>
    </w:p>
    <w:p w:rsidR="00000000" w:rsidDel="00000000" w:rsidP="00000000" w:rsidRDefault="00000000" w:rsidRPr="00000000" w14:paraId="0000029E">
      <w:pPr>
        <w:pStyle w:val="Heading1"/>
        <w:rPr/>
      </w:pPr>
      <w:bookmarkStart w:colFirst="0" w:colLast="0" w:name="_1rvwp1q" w:id="44"/>
      <w:bookmarkEnd w:id="44"/>
      <w:r w:rsidDel="00000000" w:rsidR="00000000" w:rsidRPr="00000000">
        <w:rPr>
          <w:rtl w:val="0"/>
        </w:rPr>
        <w:t xml:space="preserve">18. CRITERIO DI AGGIUDICAZIONE</w:t>
      </w:r>
    </w:p>
    <w:p w:rsidR="00000000" w:rsidDel="00000000" w:rsidP="00000000" w:rsidRDefault="00000000" w:rsidRPr="00000000" w14:paraId="0000029F">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L’appalto è aggiudicato in base al criterio dell’offerta economicamente più vantaggiosa individuata sulla base del miglior rapporto qualità/prezzo.</w:t>
      </w:r>
    </w:p>
    <w:p w:rsidR="00000000" w:rsidDel="00000000" w:rsidP="00000000" w:rsidRDefault="00000000" w:rsidRPr="00000000" w14:paraId="000002A0">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valutazione dell’offerta tecnica e dell’offerta economica è effettuata in base ai seguenti punteggi:</w:t>
      </w:r>
    </w:p>
    <w:p w:rsidR="00000000" w:rsidDel="00000000" w:rsidP="00000000" w:rsidRDefault="00000000" w:rsidRPr="00000000" w14:paraId="000002A1">
      <w:pPr>
        <w:spacing w:after="60" w:before="60" w:lineRule="auto"/>
        <w:rPr>
          <w:rFonts w:ascii="Titillium" w:cs="Titillium" w:eastAsia="Titillium" w:hAnsi="Titillium"/>
          <w:sz w:val="18"/>
          <w:szCs w:val="18"/>
        </w:rPr>
      </w:pPr>
      <w:r w:rsidDel="00000000" w:rsidR="00000000" w:rsidRPr="00000000">
        <w:rPr>
          <w:rtl w:val="0"/>
        </w:rPr>
      </w:r>
    </w:p>
    <w:tbl>
      <w:tblPr>
        <w:tblStyle w:val="Table14"/>
        <w:tblW w:w="9214.0" w:type="dxa"/>
        <w:jc w:val="left"/>
        <w:tblLayout w:type="fixed"/>
        <w:tblLook w:val="0400"/>
      </w:tblPr>
      <w:tblGrid>
        <w:gridCol w:w="4609"/>
        <w:gridCol w:w="4605"/>
        <w:tblGridChange w:id="0">
          <w:tblGrid>
            <w:gridCol w:w="4609"/>
            <w:gridCol w:w="4605"/>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2A2">
            <w:pPr>
              <w:spacing w:after="60" w:before="60" w:lineRule="auto"/>
              <w:rPr>
                <w:rFonts w:ascii="Titillium" w:cs="Titillium" w:eastAsia="Titillium" w:hAnsi="Titillium"/>
                <w:i w:val="1"/>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2A3">
            <w:pPr>
              <w:spacing w:after="60" w:before="60" w:lineRule="auto"/>
              <w:jc w:val="center"/>
              <w:rPr>
                <w:rFonts w:ascii="Titillium" w:cs="Titillium" w:eastAsia="Titillium" w:hAnsi="Titillium"/>
                <w:b w:val="1"/>
                <w:sz w:val="18"/>
                <w:szCs w:val="18"/>
              </w:rPr>
            </w:pPr>
            <w:r w:rsidDel="00000000" w:rsidR="00000000" w:rsidRPr="00000000">
              <w:rPr>
                <w:rFonts w:ascii="Titillium" w:cs="Titillium" w:eastAsia="Titillium" w:hAnsi="Titillium"/>
                <w:b w:val="1"/>
                <w:sz w:val="18"/>
                <w:szCs w:val="18"/>
                <w:rtl w:val="0"/>
              </w:rPr>
              <w:t xml:space="preserve">PUNTEGGIO MASSIMO</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4">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Offerta tecnica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5">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70</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6">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Offerta economica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7">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30</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2A8">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TOTALE</w:t>
            </w:r>
          </w:p>
        </w:tc>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2A9">
            <w:pPr>
              <w:spacing w:after="60" w:before="6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100</w:t>
            </w:r>
          </w:p>
        </w:tc>
      </w:tr>
    </w:tbl>
    <w:p w:rsidR="00000000" w:rsidDel="00000000" w:rsidP="00000000" w:rsidRDefault="00000000" w:rsidRPr="00000000" w14:paraId="000002AA">
      <w:pPr>
        <w:spacing w:after="60" w:before="60" w:lineRule="auto"/>
        <w:rPr>
          <w:rFonts w:ascii="Titillium" w:cs="Titillium" w:eastAsia="Titillium" w:hAnsi="Titillium"/>
          <w:i w:val="1"/>
          <w:sz w:val="18"/>
          <w:szCs w:val="18"/>
        </w:rPr>
      </w:pPr>
      <w:r w:rsidDel="00000000" w:rsidR="00000000" w:rsidRPr="00000000">
        <w:rPr>
          <w:rtl w:val="0"/>
        </w:rPr>
      </w:r>
    </w:p>
    <w:p w:rsidR="00000000" w:rsidDel="00000000" w:rsidP="00000000" w:rsidRDefault="00000000" w:rsidRPr="00000000" w14:paraId="000002AB">
      <w:pPr>
        <w:pStyle w:val="Heading2"/>
        <w:rPr/>
      </w:pPr>
      <w:bookmarkStart w:colFirst="0" w:colLast="0" w:name="_4bvk7pj" w:id="45"/>
      <w:bookmarkEnd w:id="45"/>
      <w:r w:rsidDel="00000000" w:rsidR="00000000" w:rsidRPr="00000000">
        <w:rPr>
          <w:rtl w:val="0"/>
        </w:rPr>
        <w:t xml:space="preserve">18.1 CRITERI DI VALUTAZIONE DELL’OFFERTA TECNICA</w:t>
      </w:r>
    </w:p>
    <w:p w:rsidR="00000000" w:rsidDel="00000000" w:rsidP="00000000" w:rsidRDefault="00000000" w:rsidRPr="00000000" w14:paraId="000002AC">
      <w:pPr>
        <w:spacing w:after="60" w:before="60" w:lineRule="auto"/>
        <w:rPr>
          <w:rFonts w:ascii="Titillium" w:cs="Titillium" w:eastAsia="Titillium" w:hAnsi="Titillium"/>
          <w:sz w:val="18"/>
          <w:szCs w:val="18"/>
        </w:rPr>
      </w:pPr>
      <w:r w:rsidDel="00000000" w:rsidR="00000000" w:rsidRPr="00000000">
        <w:rPr>
          <w:rFonts w:ascii="Arial" w:cs="Arial" w:eastAsia="Arial" w:hAnsi="Arial"/>
          <w:sz w:val="18"/>
          <w:szCs w:val="18"/>
          <w:rtl w:val="0"/>
        </w:rPr>
        <w:t xml:space="preserve">Ferme restando le caratteristiche minime dei servizi, definite nella documentazione di gara</w:t>
      </w:r>
      <w:r w:rsidDel="00000000" w:rsidR="00000000" w:rsidRPr="00000000">
        <w:rPr>
          <w:rFonts w:ascii="Arial" w:cs="Arial" w:eastAsia="Arial" w:hAnsi="Arial"/>
          <w:sz w:val="22"/>
          <w:szCs w:val="22"/>
          <w:rtl w:val="0"/>
        </w:rPr>
        <w:t xml:space="preserve">, </w:t>
      </w:r>
      <w:r w:rsidDel="00000000" w:rsidR="00000000" w:rsidRPr="00000000">
        <w:rPr>
          <w:rFonts w:ascii="Titillium" w:cs="Titillium" w:eastAsia="Titillium" w:hAnsi="Titillium"/>
          <w:sz w:val="18"/>
          <w:szCs w:val="18"/>
          <w:rtl w:val="0"/>
        </w:rPr>
        <w:t xml:space="preserve">il punteggio dell’offerta tecnica è attribuito sulla base dei criteri di valutazione elencati nella sottostante tabella con la relativa ripartizione dei punteggi.</w:t>
      </w:r>
    </w:p>
    <w:p w:rsidR="00000000" w:rsidDel="00000000" w:rsidP="00000000" w:rsidRDefault="00000000" w:rsidRPr="00000000" w14:paraId="000002AD">
      <w:pPr>
        <w:spacing w:after="60" w:before="120" w:lineRule="auto"/>
        <w:rPr>
          <w:rFonts w:ascii="Titillium" w:cs="Titillium" w:eastAsia="Titillium" w:hAnsi="Titillium"/>
          <w:b w:val="1"/>
          <w:i w:val="1"/>
          <w:sz w:val="18"/>
          <w:szCs w:val="18"/>
        </w:rPr>
      </w:pPr>
      <w:r w:rsidDel="00000000" w:rsidR="00000000" w:rsidRPr="00000000">
        <w:rPr>
          <w:rtl w:val="0"/>
        </w:rPr>
      </w:r>
    </w:p>
    <w:tbl>
      <w:tblPr>
        <w:tblStyle w:val="Table15"/>
        <w:tblW w:w="11481.000000000002" w:type="dxa"/>
        <w:jc w:val="left"/>
        <w:tblInd w:w="-108.0" w:type="dxa"/>
        <w:tblLayout w:type="fixed"/>
        <w:tblLook w:val="0400"/>
      </w:tblPr>
      <w:tblGrid>
        <w:gridCol w:w="480"/>
        <w:gridCol w:w="1665"/>
        <w:gridCol w:w="465"/>
        <w:gridCol w:w="720"/>
        <w:gridCol w:w="4920"/>
        <w:gridCol w:w="1125"/>
        <w:gridCol w:w="1067"/>
        <w:gridCol w:w="1039"/>
        <w:tblGridChange w:id="0">
          <w:tblGrid>
            <w:gridCol w:w="480"/>
            <w:gridCol w:w="1665"/>
            <w:gridCol w:w="465"/>
            <w:gridCol w:w="720"/>
            <w:gridCol w:w="4920"/>
            <w:gridCol w:w="1125"/>
            <w:gridCol w:w="1067"/>
            <w:gridCol w:w="1039"/>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AE">
            <w:pPr>
              <w:spacing w:after="60" w:before="60" w:line="240" w:lineRule="auto"/>
              <w:jc w:val="center"/>
              <w:rPr>
                <w:rFonts w:ascii="Titillium" w:cs="Titillium" w:eastAsia="Titillium" w:hAnsi="Titillium"/>
                <w:smallCaps w:val="1"/>
                <w:sz w:val="18"/>
                <w:szCs w:val="18"/>
              </w:rPr>
            </w:pPr>
            <w:r w:rsidDel="00000000" w:rsidR="00000000" w:rsidRPr="00000000">
              <w:rPr>
                <w:rFonts w:ascii="Titillium" w:cs="Titillium" w:eastAsia="Titillium" w:hAnsi="Titillium"/>
                <w:smallCaps w:val="1"/>
                <w:sz w:val="18"/>
                <w:szCs w:val="18"/>
                <w:rtl w:val="0"/>
              </w:rPr>
              <w:t xml:space="preserve">n°</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AF">
            <w:pPr>
              <w:spacing w:after="60" w:before="60" w:line="240" w:lineRule="auto"/>
              <w:jc w:val="center"/>
              <w:rPr>
                <w:rFonts w:ascii="Titillium" w:cs="Titillium" w:eastAsia="Titillium" w:hAnsi="Titillium"/>
                <w:smallCaps w:val="1"/>
                <w:sz w:val="18"/>
                <w:szCs w:val="18"/>
              </w:rPr>
            </w:pPr>
            <w:r w:rsidDel="00000000" w:rsidR="00000000" w:rsidRPr="00000000">
              <w:rPr>
                <w:rFonts w:ascii="Titillium" w:cs="Titillium" w:eastAsia="Titillium" w:hAnsi="Titillium"/>
                <w:smallCaps w:val="1"/>
                <w:sz w:val="18"/>
                <w:szCs w:val="18"/>
                <w:rtl w:val="0"/>
              </w:rPr>
              <w:t xml:space="preserve">criteri di valutazione</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B0">
            <w:pPr>
              <w:spacing w:after="60" w:before="60" w:line="240" w:lineRule="auto"/>
              <w:jc w:val="center"/>
              <w:rPr>
                <w:rFonts w:ascii="Titillium" w:cs="Titillium" w:eastAsia="Titillium" w:hAnsi="Titillium"/>
                <w:smallCaps w:val="1"/>
                <w:sz w:val="18"/>
                <w:szCs w:val="18"/>
              </w:rPr>
            </w:pPr>
            <w:r w:rsidDel="00000000" w:rsidR="00000000" w:rsidRPr="00000000">
              <w:rPr>
                <w:rFonts w:ascii="Titillium" w:cs="Titillium" w:eastAsia="Titillium" w:hAnsi="Titillium"/>
                <w:smallCaps w:val="1"/>
                <w:sz w:val="18"/>
                <w:szCs w:val="18"/>
                <w:rtl w:val="0"/>
              </w:rPr>
              <w:t xml:space="preserve">punti max</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B1">
            <w:pPr>
              <w:spacing w:after="60" w:before="60" w:line="240" w:lineRule="auto"/>
              <w:jc w:val="center"/>
              <w:rPr>
                <w:rFonts w:ascii="Titillium" w:cs="Titillium" w:eastAsia="Titillium" w:hAnsi="Titillium"/>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B2">
            <w:pPr>
              <w:spacing w:after="60" w:before="60" w:line="240" w:lineRule="auto"/>
              <w:jc w:val="center"/>
              <w:rPr>
                <w:rFonts w:ascii="Titillium" w:cs="Titillium" w:eastAsia="Titillium" w:hAnsi="Titillium"/>
                <w:smallCaps w:val="1"/>
                <w:sz w:val="18"/>
                <w:szCs w:val="18"/>
              </w:rPr>
            </w:pPr>
            <w:r w:rsidDel="00000000" w:rsidR="00000000" w:rsidRPr="00000000">
              <w:rPr>
                <w:rFonts w:ascii="Titillium" w:cs="Titillium" w:eastAsia="Titillium" w:hAnsi="Titillium"/>
                <w:smallCaps w:val="1"/>
                <w:sz w:val="18"/>
                <w:szCs w:val="18"/>
                <w:rtl w:val="0"/>
              </w:rPr>
              <w:t xml:space="preserve">sub-criteri di valutazione</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B3">
            <w:pPr>
              <w:spacing w:after="60" w:before="60" w:line="240" w:lineRule="auto"/>
              <w:jc w:val="center"/>
              <w:rPr>
                <w:rFonts w:ascii="Titillium" w:cs="Titillium" w:eastAsia="Titillium" w:hAnsi="Titillium"/>
                <w:smallCaps w:val="1"/>
                <w:sz w:val="18"/>
                <w:szCs w:val="18"/>
              </w:rPr>
            </w:pPr>
            <w:r w:rsidDel="00000000" w:rsidR="00000000" w:rsidRPr="00000000">
              <w:rPr>
                <w:rFonts w:ascii="Titillium" w:cs="Titillium" w:eastAsia="Titillium" w:hAnsi="Titillium"/>
                <w:smallCaps w:val="1"/>
                <w:sz w:val="18"/>
                <w:szCs w:val="18"/>
                <w:rtl w:val="0"/>
              </w:rPr>
              <w:t xml:space="preserve">punti T max</w:t>
            </w:r>
          </w:p>
        </w:tc>
      </w:tr>
      <w:tr>
        <w:trPr>
          <w:cantSplit w:val="0"/>
          <w:trHeight w:val="180"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4">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1</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5">
            <w:pPr>
              <w:spacing w:before="120" w:line="360" w:lineRule="auto"/>
              <w:ind w:left="57" w:firstLine="0"/>
              <w:rPr/>
            </w:pPr>
            <w:r w:rsidDel="00000000" w:rsidR="00000000" w:rsidRPr="00000000">
              <w:rPr>
                <w:rFonts w:ascii="Arial" w:cs="Arial" w:eastAsia="Arial" w:hAnsi="Arial"/>
                <w:sz w:val="18"/>
                <w:szCs w:val="18"/>
                <w:rtl w:val="0"/>
              </w:rPr>
              <w:t xml:space="preserve">Offerta  di snack biologici e del commercio equo solidale oltre il minimo richiesto. </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6">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8</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7">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8">
            <w:pPr>
              <w:spacing w:after="100" w:before="100" w:line="360" w:lineRule="auto"/>
              <w:ind w:left="170" w:hanging="113"/>
              <w:rPr/>
            </w:pPr>
            <w:r w:rsidDel="00000000" w:rsidR="00000000" w:rsidRPr="00000000">
              <w:rPr>
                <w:rFonts w:ascii="Arial" w:cs="Arial" w:eastAsia="Arial" w:hAnsi="Arial"/>
                <w:b w:val="1"/>
                <w:sz w:val="18"/>
                <w:szCs w:val="18"/>
                <w:rtl w:val="0"/>
              </w:rPr>
              <w:t xml:space="preserve">2 punti </w:t>
            </w:r>
            <w:r w:rsidDel="00000000" w:rsidR="00000000" w:rsidRPr="00000000">
              <w:rPr>
                <w:rFonts w:ascii="Arial" w:cs="Arial" w:eastAsia="Arial" w:hAnsi="Arial"/>
                <w:sz w:val="18"/>
                <w:szCs w:val="18"/>
                <w:rtl w:val="0"/>
              </w:rPr>
              <w:t xml:space="preserve">per ogni prodotto biologico offerto ulteriore rispetto a due snack, ossia conforme al Regolamento CE n. 848/2018 relativo alla produzione biologica e alle modalità di etichettatura dei prodotti biologici </w:t>
            </w:r>
            <w:r w:rsidDel="00000000" w:rsidR="00000000" w:rsidRPr="00000000">
              <w:rPr>
                <w:rFonts w:ascii="Arial" w:cs="Arial" w:eastAsia="Arial" w:hAnsi="Arial"/>
                <w:b w:val="1"/>
                <w:sz w:val="18"/>
                <w:szCs w:val="18"/>
                <w:rtl w:val="0"/>
              </w:rPr>
              <w:t xml:space="preserve">fino ad un massimo di</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sz w:val="18"/>
                <w:szCs w:val="18"/>
                <w:rtl w:val="0"/>
              </w:rPr>
              <w:t xml:space="preserve">4</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sz w:val="18"/>
                <w:szCs w:val="18"/>
                <w:rtl w:val="0"/>
              </w:rPr>
              <w:t xml:space="preserve">punti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9">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4</w:t>
            </w:r>
          </w:p>
        </w:tc>
      </w:tr>
      <w:tr>
        <w:trPr>
          <w:cantSplit w:val="0"/>
          <w:trHeight w:val="180"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A">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B">
            <w:pPr>
              <w:widowControl w:val="0"/>
              <w:spacing w:line="276" w:lineRule="auto"/>
              <w:jc w:val="left"/>
              <w:rPr>
                <w:rFonts w:ascii="Titillium" w:cs="Titillium" w:eastAsia="Titillium" w:hAnsi="Titillium"/>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C">
            <w:pPr>
              <w:widowControl w:val="0"/>
              <w:spacing w:line="276" w:lineRule="auto"/>
              <w:jc w:val="left"/>
              <w:rPr>
                <w:rFonts w:ascii="Titillium" w:cs="Titillium" w:eastAsia="Titillium" w:hAnsi="Titillium"/>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D">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E">
            <w:pPr>
              <w:spacing w:after="100" w:before="100" w:line="360" w:lineRule="auto"/>
              <w:ind w:hanging="284"/>
              <w:rPr>
                <w:rFonts w:ascii="Titillium" w:cs="Titillium" w:eastAsia="Titillium" w:hAnsi="Titillium"/>
                <w:i w:val="1"/>
                <w:sz w:val="18"/>
                <w:szCs w:val="18"/>
              </w:rPr>
            </w:pPr>
            <w:r w:rsidDel="00000000" w:rsidR="00000000" w:rsidRPr="00000000">
              <w:rPr>
                <w:rFonts w:ascii="Arial" w:cs="Arial" w:eastAsia="Arial" w:hAnsi="Arial"/>
                <w:b w:val="1"/>
                <w:sz w:val="18"/>
                <w:szCs w:val="18"/>
                <w:rtl w:val="0"/>
              </w:rPr>
              <w:t xml:space="preserve">2  2 punti </w:t>
            </w:r>
            <w:r w:rsidDel="00000000" w:rsidR="00000000" w:rsidRPr="00000000">
              <w:rPr>
                <w:rFonts w:ascii="Arial" w:cs="Arial" w:eastAsia="Arial" w:hAnsi="Arial"/>
                <w:sz w:val="18"/>
                <w:szCs w:val="18"/>
                <w:rtl w:val="0"/>
              </w:rPr>
              <w:t xml:space="preserve">per ogni prodotto “equo solidale” offerto ulteriore rispetto a due snack, ossia proveniente dal circuito del commercio equo e solidale, ad esclusione del caffè e bevande a base di caffè </w:t>
            </w:r>
            <w:r w:rsidDel="00000000" w:rsidR="00000000" w:rsidRPr="00000000">
              <w:rPr>
                <w:rFonts w:ascii="Arial" w:cs="Arial" w:eastAsia="Arial" w:hAnsi="Arial"/>
                <w:b w:val="1"/>
                <w:sz w:val="18"/>
                <w:szCs w:val="18"/>
                <w:rtl w:val="0"/>
              </w:rPr>
              <w:t xml:space="preserve">fino ad un massimo di 4</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sz w:val="18"/>
                <w:szCs w:val="18"/>
                <w:rtl w:val="0"/>
              </w:rPr>
              <w:t xml:space="preserve">punti</w:t>
            </w:r>
            <w:r w:rsidDel="00000000" w:rsidR="00000000" w:rsidRPr="00000000">
              <w:rPr>
                <w:rFonts w:ascii="Arial" w:cs="Arial" w:eastAsia="Arial" w:hAnsi="Arial"/>
                <w:sz w:val="18"/>
                <w:szCs w:val="18"/>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F">
            <w:pPr>
              <w:spacing w:after="60" w:before="60" w:line="240" w:lineRule="auto"/>
              <w:jc w:val="left"/>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          4</w:t>
            </w:r>
          </w:p>
        </w:tc>
      </w:tr>
      <w:tr>
        <w:trPr>
          <w:cantSplit w:val="0"/>
          <w:trHeight w:val="180"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0">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1">
            <w:pPr>
              <w:spacing w:before="120" w:line="360" w:lineRule="auto"/>
              <w:ind w:left="57" w:firstLine="0"/>
              <w:rPr/>
            </w:pPr>
            <w:r w:rsidDel="00000000" w:rsidR="00000000" w:rsidRPr="00000000">
              <w:rPr>
                <w:rFonts w:ascii="Arial" w:cs="Arial" w:eastAsia="Arial" w:hAnsi="Arial"/>
                <w:sz w:val="18"/>
                <w:szCs w:val="18"/>
                <w:rtl w:val="0"/>
              </w:rPr>
              <w:t xml:space="preserve">Nella relazione tecnica devono essere evidenziati il numero (con le illustrazioni dei prodotti offerti)  dei prodotti biologici o equo solidali offerti ulteriori rispetto ai due richiesti</w:t>
            </w:r>
            <w:r w:rsidDel="00000000" w:rsidR="00000000" w:rsidRPr="00000000">
              <w:rPr>
                <w:rtl w:val="0"/>
              </w:rPr>
            </w:r>
          </w:p>
          <w:p w:rsidR="00000000" w:rsidDel="00000000" w:rsidP="00000000" w:rsidRDefault="00000000" w:rsidRPr="00000000" w14:paraId="000002C2">
            <w:pPr>
              <w:spacing w:after="100" w:before="100" w:line="360" w:lineRule="auto"/>
              <w:rPr>
                <w:rFonts w:ascii="Times New Roman" w:cs="Times New Roman" w:eastAsia="Times New Roman" w:hAnsi="Times New Roman"/>
                <w:sz w:val="18"/>
                <w:szCs w:val="18"/>
              </w:rPr>
            </w:pPr>
            <w:r w:rsidDel="00000000" w:rsidR="00000000" w:rsidRPr="00000000">
              <w:rPr>
                <w:rFonts w:ascii="Arial" w:cs="Arial" w:eastAsia="Arial" w:hAnsi="Arial"/>
                <w:sz w:val="18"/>
                <w:szCs w:val="18"/>
                <w:rtl w:val="0"/>
              </w:rPr>
              <w:t xml:space="preserve">La ditta risultante  aggiudicataria dovrà presentare ad Arpae, prima della stipula del contratto, la documentazione comprovante la provenienza di tali prodotti dal circuito del commercio equo solidale, ossia facendo riferimento a prodotti importati e distribuiti da organizzazioni accreditate a livello nazionale e/o internazionale (ad esempio WFTO a livello internazionale e AGICES a livello nazionale) o in quanto certificati da organismi internazionali riconosciuti (ad esempio FLO a livello internazionale e FairTrade Transfair Italia a livello nazionale).</w:t>
            </w:r>
            <w:r w:rsidDel="00000000" w:rsidR="00000000" w:rsidRPr="00000000">
              <w:rPr>
                <w:rtl w:val="0"/>
              </w:rPr>
            </w:r>
          </w:p>
          <w:p w:rsidR="00000000" w:rsidDel="00000000" w:rsidP="00000000" w:rsidRDefault="00000000" w:rsidRPr="00000000" w14:paraId="000002C3">
            <w:pPr>
              <w:widowControl w:val="0"/>
              <w:spacing w:line="276" w:lineRule="auto"/>
              <w:jc w:val="left"/>
              <w:rPr>
                <w:rFonts w:ascii="Titillium" w:cs="Titillium" w:eastAsia="Titillium" w:hAnsi="Titillium"/>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7">
            <w:pPr>
              <w:spacing w:after="60" w:before="60" w:line="240" w:lineRule="auto"/>
              <w:jc w:val="left"/>
              <w:rPr>
                <w:rFonts w:ascii="Titillium" w:cs="Titillium" w:eastAsia="Titillium" w:hAnsi="Titillium"/>
                <w:sz w:val="18"/>
                <w:szCs w:val="18"/>
              </w:rPr>
            </w:pPr>
            <w:r w:rsidDel="00000000" w:rsidR="00000000" w:rsidRPr="00000000">
              <w:rPr>
                <w:rtl w:val="0"/>
              </w:rPr>
            </w:r>
          </w:p>
        </w:tc>
      </w:tr>
      <w:tr>
        <w:trPr>
          <w:cantSplit w:val="0"/>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8">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2</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9">
            <w:pPr>
              <w:spacing w:before="120" w:line="360" w:lineRule="auto"/>
              <w:ind w:left="57" w:firstLine="0"/>
              <w:rPr/>
            </w:pPr>
            <w:r w:rsidDel="00000000" w:rsidR="00000000" w:rsidRPr="00000000">
              <w:rPr>
                <w:rFonts w:ascii="Arial" w:cs="Arial" w:eastAsia="Arial" w:hAnsi="Arial"/>
                <w:sz w:val="18"/>
                <w:szCs w:val="18"/>
                <w:rtl w:val="0"/>
              </w:rPr>
              <w:t xml:space="preserve">Offerta  di snack privi di glutine e privi di lattosio oltre il minimo richiesto. ll punteggio sarà attribuito alla qualità della gamma di snack offerta come di seguito</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A">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8</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B">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C">
            <w:pPr>
              <w:spacing w:after="100" w:before="100" w:line="360" w:lineRule="auto"/>
              <w:ind w:left="170" w:hanging="113"/>
              <w:rPr>
                <w:rFonts w:ascii="Times New Roman" w:cs="Times New Roman" w:eastAsia="Times New Roman" w:hAnsi="Times New Roman"/>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sz w:val="18"/>
                <w:szCs w:val="18"/>
                <w:rtl w:val="0"/>
              </w:rPr>
              <w:t xml:space="preserve">2 punti </w:t>
            </w:r>
            <w:r w:rsidDel="00000000" w:rsidR="00000000" w:rsidRPr="00000000">
              <w:rPr>
                <w:rFonts w:ascii="Arial" w:cs="Arial" w:eastAsia="Arial" w:hAnsi="Arial"/>
                <w:sz w:val="18"/>
                <w:szCs w:val="18"/>
                <w:rtl w:val="0"/>
              </w:rPr>
              <w:t xml:space="preserve">per ogni prodotto privo di glutine offerto ulteriore rispetto a  1 snack, come richiesto nel capitolato speciale,  </w:t>
            </w:r>
            <w:r w:rsidDel="00000000" w:rsidR="00000000" w:rsidRPr="00000000">
              <w:rPr>
                <w:rFonts w:ascii="Arial" w:cs="Arial" w:eastAsia="Arial" w:hAnsi="Arial"/>
                <w:b w:val="1"/>
                <w:sz w:val="18"/>
                <w:szCs w:val="18"/>
                <w:rtl w:val="0"/>
              </w:rPr>
              <w:t xml:space="preserve">fino ad un massimo di</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sz w:val="18"/>
                <w:szCs w:val="18"/>
                <w:rtl w:val="0"/>
              </w:rPr>
              <w:t xml:space="preserve">4</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sz w:val="18"/>
                <w:szCs w:val="18"/>
                <w:rtl w:val="0"/>
              </w:rPr>
              <w:t xml:space="preserve">punti</w:t>
            </w:r>
            <w:r w:rsidDel="00000000" w:rsidR="00000000" w:rsidRPr="00000000">
              <w:rPr>
                <w:rFonts w:ascii="Arial" w:cs="Arial" w:eastAsia="Arial" w:hAnsi="Arial"/>
                <w:sz w:val="18"/>
                <w:szCs w:val="18"/>
                <w:rtl w:val="0"/>
              </w:rPr>
              <w:t xml:space="preserve">.</w:t>
            </w:r>
            <w:r w:rsidDel="00000000" w:rsidR="00000000" w:rsidRPr="00000000">
              <w:rPr>
                <w:rtl w:val="0"/>
              </w:rPr>
            </w:r>
          </w:p>
          <w:p w:rsidR="00000000" w:rsidDel="00000000" w:rsidP="00000000" w:rsidRDefault="00000000" w:rsidRPr="00000000" w14:paraId="000002CD">
            <w:pPr>
              <w:spacing w:after="60" w:before="60" w:line="240" w:lineRule="auto"/>
              <w:jc w:val="center"/>
              <w:rPr>
                <w:rFonts w:ascii="Titillium" w:cs="Titillium" w:eastAsia="Titillium" w:hAnsi="Titillium"/>
                <w:i w:val="1"/>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E">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4</w:t>
            </w:r>
          </w:p>
        </w:tc>
      </w:tr>
      <w:tr>
        <w:trPr>
          <w:cantSplit w:val="0"/>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F">
            <w:pPr>
              <w:widowControl w:val="0"/>
              <w:spacing w:line="276" w:lineRule="auto"/>
              <w:jc w:val="left"/>
              <w:rPr>
                <w:rFonts w:ascii="Titillium" w:cs="Titillium" w:eastAsia="Titillium" w:hAnsi="Titillium"/>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0">
            <w:pPr>
              <w:widowControl w:val="0"/>
              <w:spacing w:line="276" w:lineRule="auto"/>
              <w:jc w:val="left"/>
              <w:rPr>
                <w:rFonts w:ascii="Titillium" w:cs="Titillium" w:eastAsia="Titillium" w:hAnsi="Titillium"/>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1">
            <w:pPr>
              <w:widowControl w:val="0"/>
              <w:spacing w:line="276" w:lineRule="auto"/>
              <w:jc w:val="left"/>
              <w:rPr>
                <w:rFonts w:ascii="Titillium" w:cs="Titillium" w:eastAsia="Titillium" w:hAnsi="Titillium"/>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2">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3">
            <w:pPr>
              <w:spacing w:after="100" w:before="100" w:line="360" w:lineRule="auto"/>
              <w:ind w:left="170" w:hanging="113"/>
              <w:rPr>
                <w:rFonts w:ascii="Times New Roman" w:cs="Times New Roman" w:eastAsia="Times New Roman" w:hAnsi="Times New Roman"/>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sz w:val="18"/>
                <w:szCs w:val="18"/>
                <w:rtl w:val="0"/>
              </w:rPr>
              <w:t xml:space="preserve">2 punti </w:t>
            </w:r>
            <w:r w:rsidDel="00000000" w:rsidR="00000000" w:rsidRPr="00000000">
              <w:rPr>
                <w:rFonts w:ascii="Arial" w:cs="Arial" w:eastAsia="Arial" w:hAnsi="Arial"/>
                <w:sz w:val="18"/>
                <w:szCs w:val="18"/>
                <w:rtl w:val="0"/>
              </w:rPr>
              <w:t xml:space="preserve">per ogni prodotto privo di lattosio offerto ulteriore rispetto a  1 snack, come richiesto nel capitolato speciale,  </w:t>
            </w:r>
            <w:r w:rsidDel="00000000" w:rsidR="00000000" w:rsidRPr="00000000">
              <w:rPr>
                <w:rFonts w:ascii="Arial" w:cs="Arial" w:eastAsia="Arial" w:hAnsi="Arial"/>
                <w:b w:val="1"/>
                <w:sz w:val="18"/>
                <w:szCs w:val="18"/>
                <w:rtl w:val="0"/>
              </w:rPr>
              <w:t xml:space="preserve">fino ad un massimo di</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sz w:val="18"/>
                <w:szCs w:val="18"/>
                <w:rtl w:val="0"/>
              </w:rPr>
              <w:t xml:space="preserve">4</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sz w:val="18"/>
                <w:szCs w:val="18"/>
                <w:rtl w:val="0"/>
              </w:rPr>
              <w:t xml:space="preserve">punti</w:t>
            </w:r>
            <w:r w:rsidDel="00000000" w:rsidR="00000000" w:rsidRPr="00000000">
              <w:rPr>
                <w:rFonts w:ascii="Arial" w:cs="Arial" w:eastAsia="Arial" w:hAnsi="Arial"/>
                <w:sz w:val="18"/>
                <w:szCs w:val="18"/>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4">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4</w:t>
            </w:r>
          </w:p>
        </w:tc>
      </w:tr>
      <w:tr>
        <w:trPr>
          <w:cantSplit w:val="0"/>
          <w:trHeight w:val="180" w:hRule="atLeast"/>
          <w:tblHeader w:val="0"/>
        </w:trPr>
        <w:tc>
          <w:tcPr>
            <w:gridSpan w:val="5"/>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5">
            <w:pPr>
              <w:spacing w:after="100" w:before="100"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Nella relazione tecnica devono essere evidenziati il numero (con le illustrazioni dei prodotti offerti)  dei prodotti  gluten free e privi di lattosio offerti ulteriori rispetto a uno snack, per categoria di prodotto, richiesti . </w:t>
              <w:br w:type="textWrapping"/>
              <w:t xml:space="preserve">La ditta risultante  aggiudicataria dovrà presentare ad Arpae, prima della stipula del contratto, la documentazione comprovante le certificazioni relative ai prodotti senza glutine e privi di lattosio offerti.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A">
            <w:pPr>
              <w:spacing w:after="60" w:before="60" w:line="240" w:lineRule="auto"/>
              <w:jc w:val="center"/>
              <w:rPr>
                <w:rFonts w:ascii="Titillium" w:cs="Titillium" w:eastAsia="Titillium" w:hAnsi="Titillium"/>
                <w:sz w:val="18"/>
                <w:szCs w:val="18"/>
              </w:rPr>
            </w:pPr>
            <w:r w:rsidDel="00000000" w:rsidR="00000000" w:rsidRPr="00000000">
              <w:rPr>
                <w:rtl w:val="0"/>
              </w:rPr>
            </w:r>
          </w:p>
        </w:tc>
      </w:tr>
      <w:tr>
        <w:trPr>
          <w:cantSplit w:val="0"/>
          <w:trHeight w:val="180"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B">
            <w:pPr>
              <w:widowControl w:val="0"/>
              <w:spacing w:line="276" w:lineRule="auto"/>
              <w:jc w:val="left"/>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3</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C">
            <w:pPr>
              <w:spacing w:before="120" w:line="360" w:lineRule="auto"/>
              <w:ind w:left="0" w:firstLine="0"/>
              <w:rPr>
                <w:rFonts w:ascii="Titillium" w:cs="Titillium" w:eastAsia="Titillium" w:hAnsi="Titillium"/>
                <w:sz w:val="18"/>
                <w:szCs w:val="18"/>
              </w:rPr>
            </w:pPr>
            <w:r w:rsidDel="00000000" w:rsidR="00000000" w:rsidRPr="00000000">
              <w:rPr>
                <w:rFonts w:ascii="Arial" w:cs="Arial" w:eastAsia="Arial" w:hAnsi="Arial"/>
                <w:sz w:val="18"/>
                <w:szCs w:val="18"/>
                <w:rtl w:val="0"/>
              </w:rPr>
              <w:t xml:space="preserve">Offerta di miscela di caffè  con percentuale di arabica superiore al 40%. </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D">
            <w:pPr>
              <w:widowControl w:val="0"/>
              <w:spacing w:line="276" w:lineRule="auto"/>
              <w:jc w:val="left"/>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8</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E">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F">
            <w:pPr>
              <w:spacing w:before="120" w:line="360" w:lineRule="auto"/>
              <w:ind w:left="0" w:firstLine="0"/>
              <w:rPr>
                <w:rFonts w:ascii="Times New Roman" w:cs="Times New Roman" w:eastAsia="Times New Roman" w:hAnsi="Times New Roman"/>
                <w:sz w:val="18"/>
                <w:szCs w:val="18"/>
              </w:rPr>
            </w:pPr>
            <w:r w:rsidDel="00000000" w:rsidR="00000000" w:rsidRPr="00000000">
              <w:rPr>
                <w:rFonts w:ascii="Arial" w:cs="Arial" w:eastAsia="Arial" w:hAnsi="Arial"/>
                <w:sz w:val="18"/>
                <w:szCs w:val="18"/>
                <w:rtl w:val="0"/>
              </w:rPr>
              <w:t xml:space="preserve">miscela di caffè con la percentuale di arabica &gt; del 40% e fino a 70%;</w:t>
            </w:r>
            <w:r w:rsidDel="00000000" w:rsidR="00000000" w:rsidRPr="00000000">
              <w:rPr>
                <w:rtl w:val="0"/>
              </w:rPr>
            </w:r>
          </w:p>
          <w:p w:rsidR="00000000" w:rsidDel="00000000" w:rsidP="00000000" w:rsidRDefault="00000000" w:rsidRPr="00000000" w14:paraId="000002E0">
            <w:pPr>
              <w:spacing w:before="120" w:line="360" w:lineRule="auto"/>
              <w:ind w:left="113"/>
              <w:rPr>
                <w:rFonts w:ascii="Arial" w:cs="Arial" w:eastAsia="Arial" w:hAnsi="Arial"/>
                <w:sz w:val="18"/>
                <w:szCs w:val="18"/>
              </w:rPr>
            </w:pPr>
            <w:r w:rsidDel="00000000" w:rsidR="00000000" w:rsidRPr="00000000">
              <w:rPr>
                <w:rFonts w:ascii="Arial" w:cs="Arial" w:eastAsia="Arial" w:hAnsi="Arial"/>
                <w:b w:val="1"/>
                <w:sz w:val="18"/>
                <w:szCs w:val="18"/>
                <w:rtl w:val="0"/>
              </w:rPr>
              <w:t xml:space="preserve"> </w:t>
            </w:r>
            <w:r w:rsidDel="00000000" w:rsidR="00000000" w:rsidRPr="00000000">
              <w:rPr>
                <w:rtl w:val="0"/>
              </w:rPr>
            </w:r>
          </w:p>
          <w:p w:rsidR="00000000" w:rsidDel="00000000" w:rsidP="00000000" w:rsidRDefault="00000000" w:rsidRPr="00000000" w14:paraId="000002E1">
            <w:pPr>
              <w:spacing w:after="100" w:before="100" w:line="360" w:lineRule="auto"/>
              <w:ind w:left="170" w:hanging="113"/>
              <w:rPr>
                <w:rFonts w:ascii="Arial" w:cs="Arial" w:eastAsia="Arial" w:hAnsi="Arial"/>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2">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4</w:t>
            </w:r>
          </w:p>
        </w:tc>
      </w:tr>
      <w:tr>
        <w:trPr>
          <w:cantSplit w:val="0"/>
          <w:trHeight w:val="180"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3">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4">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5">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6">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7">
            <w:pPr>
              <w:spacing w:before="120" w:line="360" w:lineRule="auto"/>
              <w:ind w:left="113"/>
              <w:rPr>
                <w:rFonts w:ascii="Arial" w:cs="Arial" w:eastAsia="Arial" w:hAnsi="Arial"/>
                <w:sz w:val="18"/>
                <w:szCs w:val="18"/>
              </w:rPr>
            </w:pPr>
            <w:r w:rsidDel="00000000" w:rsidR="00000000" w:rsidRPr="00000000">
              <w:rPr>
                <w:rFonts w:ascii="Arial" w:cs="Arial" w:eastAsia="Arial" w:hAnsi="Arial"/>
                <w:sz w:val="18"/>
                <w:szCs w:val="18"/>
                <w:rtl w:val="0"/>
              </w:rPr>
              <w:t xml:space="preserve">per la miscela di caffè con la percentuale di arabica &gt; del 70%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8">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8</w:t>
            </w:r>
          </w:p>
        </w:tc>
      </w:tr>
      <w:tr>
        <w:trPr>
          <w:cantSplit w:val="0"/>
          <w:trHeight w:val="180"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9">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A">
            <w:pPr>
              <w:spacing w:before="120" w:line="360" w:lineRule="auto"/>
              <w:rPr>
                <w:rFonts w:ascii="Titillium" w:cs="Titillium" w:eastAsia="Titillium" w:hAnsi="Titillium"/>
                <w:sz w:val="18"/>
                <w:szCs w:val="18"/>
              </w:rPr>
            </w:pPr>
            <w:r w:rsidDel="00000000" w:rsidR="00000000" w:rsidRPr="00000000">
              <w:rPr>
                <w:rFonts w:ascii="Arial" w:cs="Arial" w:eastAsia="Arial" w:hAnsi="Arial"/>
                <w:sz w:val="18"/>
                <w:szCs w:val="18"/>
                <w:rtl w:val="0"/>
              </w:rPr>
              <w:t xml:space="preserve">Nella relazione tecnica deve essere indicata  la percentuale di arabica della miscela di caffè offerto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E">
            <w:pPr>
              <w:spacing w:after="60" w:before="60" w:line="240" w:lineRule="auto"/>
              <w:jc w:val="center"/>
              <w:rPr>
                <w:rFonts w:ascii="Titillium" w:cs="Titillium" w:eastAsia="Titillium" w:hAnsi="Titillium"/>
                <w:sz w:val="18"/>
                <w:szCs w:val="18"/>
              </w:rPr>
            </w:pPr>
            <w:r w:rsidDel="00000000" w:rsidR="00000000" w:rsidRPr="00000000">
              <w:rPr>
                <w:rtl w:val="0"/>
              </w:rPr>
            </w:r>
          </w:p>
        </w:tc>
      </w:tr>
      <w:tr>
        <w:trPr>
          <w:cantSplit w:val="0"/>
          <w:trHeight w:val="180"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F">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0">
            <w:pPr>
              <w:spacing w:before="120" w:line="360" w:lineRule="auto"/>
              <w:ind w:left="0" w:firstLine="0"/>
              <w:rPr>
                <w:rFonts w:ascii="Titillium" w:cs="Titillium" w:eastAsia="Titillium" w:hAnsi="Titillium"/>
                <w:sz w:val="18"/>
                <w:szCs w:val="18"/>
              </w:rPr>
            </w:pPr>
            <w:r w:rsidDel="00000000" w:rsidR="00000000" w:rsidRPr="00000000">
              <w:rPr>
                <w:rFonts w:ascii="Arial" w:cs="Arial" w:eastAsia="Arial" w:hAnsi="Arial"/>
                <w:sz w:val="18"/>
                <w:szCs w:val="18"/>
                <w:rtl w:val="0"/>
              </w:rPr>
              <w:t xml:space="preserve">Caffè del commercio equo e solidale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1">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2">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4.1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3">
            <w:pPr>
              <w:spacing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Il punteggio sarà attribuito all’offerta di caffè e bevande a base di caffè proveniente dal circuito del commercio equo e solidale con una percentuale di arabica pari </w:t>
            </w:r>
            <w:r w:rsidDel="00000000" w:rsidR="00000000" w:rsidRPr="00000000">
              <w:rPr>
                <w:rFonts w:ascii="Arial" w:cs="Arial" w:eastAsia="Arial" w:hAnsi="Arial"/>
                <w:b w:val="1"/>
                <w:sz w:val="18"/>
                <w:szCs w:val="18"/>
                <w:rtl w:val="0"/>
              </w:rPr>
              <w:t xml:space="preserve"> </w:t>
            </w:r>
            <w:r w:rsidDel="00000000" w:rsidR="00000000" w:rsidRPr="00000000">
              <w:rPr>
                <w:rFonts w:ascii="Arial" w:cs="Arial" w:eastAsia="Arial" w:hAnsi="Arial"/>
                <w:sz w:val="18"/>
                <w:szCs w:val="18"/>
                <w:rtl w:val="0"/>
              </w:rPr>
              <w:t xml:space="preserve">ad almeno 80% oltre il caffè di cui al precedente punto 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4">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6</w:t>
            </w:r>
          </w:p>
        </w:tc>
      </w:tr>
      <w:tr>
        <w:trPr>
          <w:cantSplit w:val="0"/>
          <w:trHeight w:val="180"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5">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6">
            <w:pPr>
              <w:spacing w:after="100" w:before="100"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La società risultante provvisoriamente aggiudicataria dovrà presentare ad Arpae, prima della stipula del contratto, la documentazione comprovante la provenienza del caffè, e delle bevande a base di caffè, dal circuito del commercio equosolidale, ossia facendo riferimento a prodotti importati e distribuiti da organizzazioni accreditate a livello nazionale e/o internazionale (ad esempio WFTO a livello internazionale e AGICES a livello nazionale) o in quanto certificati da organismi internazionali riconosciuti (ad esempio FLO a livello internazionale e FairTrade Transfair Italia a livello nazionale)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A">
            <w:pPr>
              <w:spacing w:after="60" w:before="60" w:line="240" w:lineRule="auto"/>
              <w:jc w:val="center"/>
              <w:rPr>
                <w:rFonts w:ascii="Titillium" w:cs="Titillium" w:eastAsia="Titillium" w:hAnsi="Titillium"/>
                <w:sz w:val="18"/>
                <w:szCs w:val="18"/>
              </w:rPr>
            </w:pPr>
            <w:r w:rsidDel="00000000" w:rsidR="00000000" w:rsidRPr="00000000">
              <w:rPr>
                <w:rtl w:val="0"/>
              </w:rPr>
            </w:r>
          </w:p>
        </w:tc>
      </w:tr>
      <w:tr>
        <w:trPr>
          <w:cantSplit w:val="0"/>
          <w:trHeight w:val="180"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B">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5</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C">
            <w:pPr>
              <w:spacing w:after="120" w:before="120" w:line="360" w:lineRule="auto"/>
              <w:rPr>
                <w:rFonts w:ascii="Titillium" w:cs="Titillium" w:eastAsia="Titillium" w:hAnsi="Titillium"/>
                <w:sz w:val="18"/>
                <w:szCs w:val="18"/>
              </w:rPr>
            </w:pPr>
            <w:r w:rsidDel="00000000" w:rsidR="00000000" w:rsidRPr="00000000">
              <w:rPr>
                <w:rFonts w:ascii="Arial" w:cs="Arial" w:eastAsia="Arial" w:hAnsi="Arial"/>
                <w:sz w:val="18"/>
                <w:szCs w:val="18"/>
                <w:rtl w:val="0"/>
              </w:rPr>
              <w:t xml:space="preserve">Bicchieri e palettine in materiale biodegradabile e compostabile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D">
            <w:pPr>
              <w:widowControl w:val="0"/>
              <w:spacing w:line="276" w:lineRule="auto"/>
              <w:jc w:val="left"/>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E">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5.1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F">
            <w:pPr>
              <w:spacing w:after="100" w:before="100" w:line="360" w:lineRule="auto"/>
              <w:ind w:left="170" w:hanging="113"/>
              <w:rPr>
                <w:rFonts w:ascii="Arial" w:cs="Arial" w:eastAsia="Arial" w:hAnsi="Arial"/>
                <w:sz w:val="18"/>
                <w:szCs w:val="18"/>
              </w:rPr>
            </w:pPr>
            <w:r w:rsidDel="00000000" w:rsidR="00000000" w:rsidRPr="00000000">
              <w:rPr>
                <w:rFonts w:ascii="Arial" w:cs="Arial" w:eastAsia="Arial" w:hAnsi="Arial"/>
                <w:sz w:val="18"/>
                <w:szCs w:val="18"/>
                <w:rtl w:val="0"/>
              </w:rPr>
              <w:t xml:space="preserve">Offerti solo Bicchieri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0">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3</w:t>
            </w:r>
          </w:p>
        </w:tc>
      </w:tr>
      <w:tr>
        <w:trPr>
          <w:cantSplit w:val="0"/>
          <w:trHeight w:val="180"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1">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2">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3">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4">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5.2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5">
            <w:pPr>
              <w:spacing w:after="100" w:before="100" w:line="360" w:lineRule="auto"/>
              <w:ind w:left="170" w:hanging="113"/>
              <w:rPr>
                <w:rFonts w:ascii="Arial" w:cs="Arial" w:eastAsia="Arial" w:hAnsi="Arial"/>
                <w:sz w:val="18"/>
                <w:szCs w:val="18"/>
              </w:rPr>
            </w:pPr>
            <w:r w:rsidDel="00000000" w:rsidR="00000000" w:rsidRPr="00000000">
              <w:rPr>
                <w:rFonts w:ascii="Arial" w:cs="Arial" w:eastAsia="Arial" w:hAnsi="Arial"/>
                <w:sz w:val="18"/>
                <w:szCs w:val="18"/>
                <w:rtl w:val="0"/>
              </w:rPr>
              <w:t xml:space="preserve">Offerti solo Palettine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6">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3</w:t>
            </w:r>
          </w:p>
        </w:tc>
      </w:tr>
      <w:tr>
        <w:trPr>
          <w:cantSplit w:val="0"/>
          <w:trHeight w:val="180"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7">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8">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9">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A">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5.3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B">
            <w:pPr>
              <w:spacing w:after="100" w:before="100" w:line="360" w:lineRule="auto"/>
              <w:ind w:left="170" w:hanging="113"/>
              <w:rPr>
                <w:rFonts w:ascii="Arial" w:cs="Arial" w:eastAsia="Arial" w:hAnsi="Arial"/>
                <w:sz w:val="18"/>
                <w:szCs w:val="18"/>
              </w:rPr>
            </w:pPr>
            <w:r w:rsidDel="00000000" w:rsidR="00000000" w:rsidRPr="00000000">
              <w:rPr>
                <w:rFonts w:ascii="Arial" w:cs="Arial" w:eastAsia="Arial" w:hAnsi="Arial"/>
                <w:sz w:val="18"/>
                <w:szCs w:val="18"/>
                <w:rtl w:val="0"/>
              </w:rPr>
              <w:t xml:space="preserve">Offerti sia bicchieri che palettine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C">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6</w:t>
            </w:r>
          </w:p>
        </w:tc>
      </w:tr>
      <w:tr>
        <w:trPr>
          <w:cantSplit w:val="0"/>
          <w:trHeight w:val="180"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D">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E">
            <w:pPr>
              <w:widowControl w:val="0"/>
              <w:spacing w:line="276" w:lineRule="auto"/>
              <w:jc w:val="left"/>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Imballaggi dei prodotti offerti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F">
            <w:pPr>
              <w:widowControl w:val="0"/>
              <w:spacing w:line="276" w:lineRule="auto"/>
              <w:jc w:val="left"/>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0">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6.1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1">
            <w:pPr>
              <w:spacing w:line="240"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312">
            <w:pPr>
              <w:spacing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 punti saranno attribuiti in misura proporzionale alle categorie di prodotti offerti imballati con materiale biodegradabile e compostabile conforme alla norma UNI EN 13432, conforme alle normative in materia di materiali ed oggetti a diretto contatto con gli alimenti.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3">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5</w:t>
            </w:r>
          </w:p>
        </w:tc>
      </w:tr>
      <w:tr>
        <w:trPr>
          <w:cantSplit w:val="0"/>
          <w:trHeight w:val="180"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4">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5">
            <w:pPr>
              <w:spacing w:line="360" w:lineRule="auto"/>
              <w:rPr>
                <w:rFonts w:ascii="Titillium" w:cs="Titillium" w:eastAsia="Titillium" w:hAnsi="Titillium"/>
                <w:sz w:val="18"/>
                <w:szCs w:val="18"/>
              </w:rPr>
            </w:pPr>
            <w:r w:rsidDel="00000000" w:rsidR="00000000" w:rsidRPr="00000000">
              <w:rPr>
                <w:rFonts w:ascii="Arial" w:cs="Arial" w:eastAsia="Arial" w:hAnsi="Arial"/>
                <w:sz w:val="18"/>
                <w:szCs w:val="18"/>
                <w:rtl w:val="0"/>
              </w:rPr>
              <w:t xml:space="preserve">Nella relazione tecnica l’offerente dovrà indicare, per ogni lotto, le categorie di prodotti che saranno disponibili con gli imballaggi realizzati con materiale biodegradabile e compostabile, indicando il produttore di tali prodotti ed allegando la documentazione tecnica che descriva il materiale dell’imballaggio, l’origine delle materie prime, ed alleghi le certificazioni per dimostrare la conformità alla norma UNI EN 13432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9">
            <w:pPr>
              <w:spacing w:after="60" w:before="60" w:line="240" w:lineRule="auto"/>
              <w:jc w:val="center"/>
              <w:rPr>
                <w:rFonts w:ascii="Titillium" w:cs="Titillium" w:eastAsia="Titillium" w:hAnsi="Titillium"/>
                <w:sz w:val="18"/>
                <w:szCs w:val="18"/>
              </w:rPr>
            </w:pPr>
            <w:r w:rsidDel="00000000" w:rsidR="00000000" w:rsidRPr="00000000">
              <w:rPr>
                <w:rtl w:val="0"/>
              </w:rPr>
            </w:r>
          </w:p>
        </w:tc>
      </w:tr>
      <w:tr>
        <w:trPr>
          <w:cantSplit w:val="0"/>
          <w:trHeight w:val="180"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A">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7</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B">
            <w:pPr>
              <w:spacing w:before="120" w:line="360" w:lineRule="auto"/>
              <w:ind w:left="39" w:firstLine="0"/>
              <w:rPr>
                <w:rFonts w:ascii="Titillium" w:cs="Titillium" w:eastAsia="Titillium" w:hAnsi="Titillium"/>
                <w:sz w:val="14"/>
                <w:szCs w:val="14"/>
              </w:rPr>
            </w:pPr>
            <w:r w:rsidDel="00000000" w:rsidR="00000000" w:rsidRPr="00000000">
              <w:rPr>
                <w:rFonts w:ascii="Arial" w:cs="Arial" w:eastAsia="Arial" w:hAnsi="Arial"/>
                <w:sz w:val="18"/>
                <w:szCs w:val="18"/>
                <w:rtl w:val="0"/>
              </w:rPr>
              <w:t xml:space="preserve">Imballaggio </w:t>
            </w:r>
            <w:r w:rsidDel="00000000" w:rsidR="00000000" w:rsidRPr="00000000">
              <w:rPr>
                <w:rFonts w:ascii="Arial" w:cs="Arial" w:eastAsia="Arial" w:hAnsi="Arial"/>
                <w:sz w:val="18"/>
                <w:szCs w:val="18"/>
                <w:rtl w:val="0"/>
              </w:rPr>
              <w:t xml:space="preserve">bottigliette</w:t>
            </w:r>
            <w:r w:rsidDel="00000000" w:rsidR="00000000" w:rsidRPr="00000000">
              <w:rPr>
                <w:rFonts w:ascii="Arial" w:cs="Arial" w:eastAsia="Arial" w:hAnsi="Arial"/>
                <w:sz w:val="18"/>
                <w:szCs w:val="18"/>
                <w:rtl w:val="0"/>
              </w:rPr>
              <w:t xml:space="preserve"> acqua e provenienza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C">
            <w:pPr>
              <w:widowControl w:val="0"/>
              <w:spacing w:line="276" w:lineRule="auto"/>
              <w:jc w:val="left"/>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D">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7.1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E">
            <w:pPr>
              <w:spacing w:before="120" w:line="360" w:lineRule="auto"/>
              <w:ind w:left="39"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I punti vengono assegnati alla società che rifornisce i distributori automatici con bottiglie di acqua minerale prodotte con almeno il 30% di RPET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F">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5</w:t>
            </w:r>
          </w:p>
        </w:tc>
      </w:tr>
      <w:tr>
        <w:trPr>
          <w:cantSplit w:val="0"/>
          <w:trHeight w:val="180"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0">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1">
            <w:pPr>
              <w:spacing w:before="120" w:line="360" w:lineRule="auto"/>
              <w:ind w:left="39" w:firstLine="0"/>
              <w:rPr>
                <w:rFonts w:ascii="Titillium" w:cs="Titillium" w:eastAsia="Titillium" w:hAnsi="Titillium"/>
                <w:sz w:val="18"/>
                <w:szCs w:val="18"/>
              </w:rPr>
            </w:pPr>
            <w:r w:rsidDel="00000000" w:rsidR="00000000" w:rsidRPr="00000000">
              <w:rPr>
                <w:rFonts w:ascii="Arial" w:cs="Arial" w:eastAsia="Arial" w:hAnsi="Arial"/>
                <w:sz w:val="18"/>
                <w:szCs w:val="18"/>
                <w:rtl w:val="0"/>
              </w:rPr>
              <w:t xml:space="preserve">Nella relazione tecnica deve essere indicato se l’imballaggio è in Pet riciclato e la percentuale in peso, con allegate schede tecniche o altra documentazione tecnico- informativa e la provenienza della sorgente naturale.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5">
            <w:pPr>
              <w:spacing w:after="60" w:before="60" w:line="240" w:lineRule="auto"/>
              <w:jc w:val="center"/>
              <w:rPr>
                <w:rFonts w:ascii="Titillium" w:cs="Titillium" w:eastAsia="Titillium" w:hAnsi="Titillium"/>
                <w:sz w:val="18"/>
                <w:szCs w:val="18"/>
              </w:rPr>
            </w:pPr>
            <w:r w:rsidDel="00000000" w:rsidR="00000000" w:rsidRPr="00000000">
              <w:rPr>
                <w:rtl w:val="0"/>
              </w:rPr>
            </w:r>
          </w:p>
        </w:tc>
      </w:tr>
      <w:tr>
        <w:trPr>
          <w:cantSplit w:val="0"/>
          <w:trHeight w:val="180"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6">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8</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7">
            <w:pPr>
              <w:spacing w:before="120" w:line="360" w:lineRule="auto"/>
              <w:ind w:left="39" w:firstLine="0"/>
              <w:rPr>
                <w:rFonts w:ascii="Titillium" w:cs="Titillium" w:eastAsia="Titillium" w:hAnsi="Titillium"/>
                <w:sz w:val="18"/>
                <w:szCs w:val="18"/>
              </w:rPr>
            </w:pPr>
            <w:r w:rsidDel="00000000" w:rsidR="00000000" w:rsidRPr="00000000">
              <w:rPr>
                <w:rFonts w:ascii="Arial" w:cs="Arial" w:eastAsia="Arial" w:hAnsi="Arial"/>
                <w:sz w:val="18"/>
                <w:szCs w:val="18"/>
                <w:rtl w:val="0"/>
              </w:rPr>
              <w:t xml:space="preserve">Anno di costruzione dei distributori dichiarato in sede di relazione tecnica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8">
            <w:pPr>
              <w:widowControl w:val="0"/>
              <w:spacing w:line="276" w:lineRule="auto"/>
              <w:jc w:val="left"/>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8</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9">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8.1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A">
            <w:pPr>
              <w:spacing w:after="100" w:before="100" w:line="360" w:lineRule="auto"/>
              <w:ind w:left="170" w:hanging="113"/>
              <w:rPr>
                <w:rFonts w:ascii="Arial" w:cs="Arial" w:eastAsia="Arial" w:hAnsi="Arial"/>
                <w:sz w:val="18"/>
                <w:szCs w:val="18"/>
              </w:rPr>
            </w:pPr>
            <w:r w:rsidDel="00000000" w:rsidR="00000000" w:rsidRPr="00000000">
              <w:rPr>
                <w:rFonts w:ascii="Arial" w:cs="Arial" w:eastAsia="Arial" w:hAnsi="Arial"/>
                <w:sz w:val="18"/>
                <w:szCs w:val="18"/>
                <w:rtl w:val="0"/>
              </w:rPr>
              <w:t xml:space="preserve">Anno 2023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B">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8</w:t>
            </w:r>
          </w:p>
        </w:tc>
      </w:tr>
      <w:tr>
        <w:trPr>
          <w:cantSplit w:val="0"/>
          <w:trHeight w:val="180"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C">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D">
            <w:pPr>
              <w:spacing w:before="120" w:line="360" w:lineRule="auto"/>
              <w:rPr>
                <w:rFonts w:ascii="Titillium" w:cs="Titillium" w:eastAsia="Titillium" w:hAnsi="Titillium"/>
                <w:sz w:val="18"/>
                <w:szCs w:val="18"/>
              </w:rPr>
            </w:pPr>
            <w:r w:rsidDel="00000000" w:rsidR="00000000" w:rsidRPr="00000000">
              <w:rPr>
                <w:rFonts w:ascii="Arial" w:cs="Arial" w:eastAsia="Arial" w:hAnsi="Arial"/>
                <w:sz w:val="18"/>
                <w:szCs w:val="18"/>
                <w:rtl w:val="0"/>
              </w:rPr>
              <w:t xml:space="preserve">L’anno di costruzione dovrà essere dichiarato e comprovato, prima dell’avvio del servizio, mediante apposite dichiarazioni rilasciate dal costruttore dei distributori automatici. Per l’assegnazione del punteggio tutti i distributori proposti dovranno riportare tale anno di fabbricazione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1">
            <w:pPr>
              <w:spacing w:after="60" w:before="60" w:line="240" w:lineRule="auto"/>
              <w:jc w:val="center"/>
              <w:rPr>
                <w:rFonts w:ascii="Titillium" w:cs="Titillium" w:eastAsia="Titillium" w:hAnsi="Titillium"/>
                <w:sz w:val="18"/>
                <w:szCs w:val="18"/>
              </w:rPr>
            </w:pPr>
            <w:r w:rsidDel="00000000" w:rsidR="00000000" w:rsidRPr="00000000">
              <w:rPr>
                <w:rtl w:val="0"/>
              </w:rPr>
            </w:r>
          </w:p>
        </w:tc>
      </w:tr>
      <w:tr>
        <w:trPr>
          <w:cantSplit w:val="0"/>
          <w:trHeight w:val="180"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2">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9</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3">
            <w:pPr>
              <w:spacing w:before="120" w:line="360" w:lineRule="auto"/>
              <w:ind w:left="0" w:right="-110.78740157480311" w:firstLine="0"/>
              <w:rPr>
                <w:rFonts w:ascii="Titillium" w:cs="Titillium" w:eastAsia="Titillium" w:hAnsi="Titillium"/>
                <w:sz w:val="18"/>
                <w:szCs w:val="18"/>
              </w:rPr>
            </w:pPr>
            <w:r w:rsidDel="00000000" w:rsidR="00000000" w:rsidRPr="00000000">
              <w:rPr>
                <w:rFonts w:ascii="Arial" w:cs="Arial" w:eastAsia="Arial" w:hAnsi="Arial"/>
                <w:sz w:val="18"/>
                <w:szCs w:val="18"/>
                <w:rtl w:val="0"/>
              </w:rPr>
              <w:t xml:space="preserve">Caratteristiche specifiche del distributore automatico di bevande calde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4">
            <w:pPr>
              <w:widowControl w:val="0"/>
              <w:spacing w:line="276" w:lineRule="auto"/>
              <w:jc w:val="left"/>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8</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5">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9.1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6">
            <w:pPr>
              <w:spacing w:after="120" w:line="360" w:lineRule="auto"/>
              <w:ind w:left="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Possibilità di erogazione delle bevande calde sia con bicchiere che “senza bicchiere”, con selezione a scelta dell’utente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7">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4</w:t>
            </w:r>
          </w:p>
        </w:tc>
      </w:tr>
      <w:tr>
        <w:trPr>
          <w:cantSplit w:val="0"/>
          <w:trHeight w:val="180"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8">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9">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A">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B">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9.2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C">
            <w:pPr>
              <w:spacing w:after="120" w:line="360" w:lineRule="auto"/>
              <w:ind w:left="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 Possibilità di selezionare la funzione “solo acqua calda”, al costo non superiore a 10 centesimi di euro per l’utente, con possibilità di scelta della quantità di zucchero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D">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4</w:t>
            </w:r>
          </w:p>
        </w:tc>
      </w:tr>
      <w:tr>
        <w:trPr>
          <w:cantSplit w:val="0"/>
          <w:trHeight w:val="180"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E">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F">
            <w:pPr>
              <w:spacing w:line="360" w:lineRule="auto"/>
              <w:rPr>
                <w:rFonts w:ascii="Titillium" w:cs="Titillium" w:eastAsia="Titillium" w:hAnsi="Titillium"/>
                <w:sz w:val="18"/>
                <w:szCs w:val="18"/>
              </w:rPr>
            </w:pPr>
            <w:r w:rsidDel="00000000" w:rsidR="00000000" w:rsidRPr="00000000">
              <w:rPr>
                <w:rFonts w:ascii="Arial" w:cs="Arial" w:eastAsia="Arial" w:hAnsi="Arial"/>
                <w:sz w:val="18"/>
                <w:szCs w:val="18"/>
                <w:rtl w:val="0"/>
              </w:rPr>
              <w:t xml:space="preserve">I prezzi praticati nel distributore di bevande calde per tutte le selezioni con l’opzione “senza bicchiere” dovranno </w:t>
            </w:r>
            <w:r w:rsidDel="00000000" w:rsidR="00000000" w:rsidRPr="00000000">
              <w:rPr>
                <w:rFonts w:ascii="Arial" w:cs="Arial" w:eastAsia="Arial" w:hAnsi="Arial"/>
                <w:sz w:val="18"/>
                <w:szCs w:val="18"/>
                <w:u w:val="single"/>
                <w:rtl w:val="0"/>
              </w:rPr>
              <w:t xml:space="preserve">essere inferiori di 5 centesimi </w:t>
            </w:r>
            <w:r w:rsidDel="00000000" w:rsidR="00000000" w:rsidRPr="00000000">
              <w:rPr>
                <w:rFonts w:ascii="Arial" w:cs="Arial" w:eastAsia="Arial" w:hAnsi="Arial"/>
                <w:sz w:val="18"/>
                <w:szCs w:val="18"/>
                <w:rtl w:val="0"/>
              </w:rPr>
              <w:t xml:space="preserve">di euro rispetto ai prezzi proposti nell’offerta economica per le bevande calde, indipendentemente dal metodo di pagamento (chiavetta, moneta, ecc.).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3">
            <w:pPr>
              <w:spacing w:after="60" w:before="60" w:line="240" w:lineRule="auto"/>
              <w:jc w:val="center"/>
              <w:rPr>
                <w:rFonts w:ascii="Titillium" w:cs="Titillium" w:eastAsia="Titillium" w:hAnsi="Titillium"/>
                <w:sz w:val="18"/>
                <w:szCs w:val="18"/>
              </w:rPr>
            </w:pPr>
            <w:r w:rsidDel="00000000" w:rsidR="00000000" w:rsidRPr="00000000">
              <w:rPr>
                <w:rtl w:val="0"/>
              </w:rPr>
            </w:r>
          </w:p>
        </w:tc>
      </w:tr>
      <w:tr>
        <w:trPr>
          <w:cantSplit w:val="0"/>
          <w:trHeight w:val="180"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4">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10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5">
            <w:pPr>
              <w:keepNext w:val="0"/>
              <w:keepLines w:val="0"/>
              <w:widowControl w:val="1"/>
              <w:pBdr>
                <w:top w:space="0" w:sz="0" w:val="nil"/>
                <w:left w:space="0" w:sz="0" w:val="nil"/>
                <w:bottom w:space="0" w:sz="0" w:val="nil"/>
                <w:right w:space="0" w:sz="0" w:val="nil"/>
                <w:between w:space="0" w:sz="0" w:val="nil"/>
              </w:pBdr>
              <w:shd w:fill="auto" w:val="clear"/>
              <w:spacing w:after="0" w:before="120" w:line="360" w:lineRule="auto"/>
              <w:ind w:left="39" w:right="0" w:firstLine="0"/>
              <w:jc w:val="both"/>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Caratteristiche ambientali dei veicoli adibiti all’esecuzione del servizio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6">
            <w:pPr>
              <w:keepNext w:val="0"/>
              <w:keepLines w:val="0"/>
              <w:widowControl w:val="1"/>
              <w:pBdr>
                <w:top w:space="0" w:sz="0" w:val="nil"/>
                <w:left w:space="0" w:sz="0" w:val="nil"/>
                <w:bottom w:space="0" w:sz="0" w:val="nil"/>
                <w:right w:space="0" w:sz="0" w:val="nil"/>
                <w:between w:space="0" w:sz="0" w:val="nil"/>
              </w:pBdr>
              <w:shd w:fill="auto" w:val="clear"/>
              <w:spacing w:after="0" w:before="120" w:line="360" w:lineRule="auto"/>
              <w:ind w:left="39" w:right="0" w:firstLine="0"/>
              <w:jc w:val="both"/>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7">
            <w:pPr>
              <w:keepNext w:val="0"/>
              <w:keepLines w:val="0"/>
              <w:widowControl w:val="1"/>
              <w:pBdr>
                <w:top w:space="0" w:sz="0" w:val="nil"/>
                <w:left w:space="0" w:sz="0" w:val="nil"/>
                <w:bottom w:space="0" w:sz="0" w:val="nil"/>
                <w:right w:space="0" w:sz="0" w:val="nil"/>
                <w:between w:space="0" w:sz="0" w:val="nil"/>
              </w:pBdr>
              <w:shd w:fill="auto" w:val="clear"/>
              <w:spacing w:after="0" w:before="120" w:line="360" w:lineRule="auto"/>
              <w:ind w:left="39" w:right="0" w:firstLine="0"/>
              <w:jc w:val="both"/>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10.1</w:t>
            </w:r>
          </w:p>
        </w:tc>
        <w:tc>
          <w:tcPr>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348">
            <w:pPr>
              <w:keepNext w:val="0"/>
              <w:keepLines w:val="0"/>
              <w:widowControl w:val="1"/>
              <w:pBdr>
                <w:top w:space="0" w:sz="0" w:val="nil"/>
                <w:left w:space="0" w:sz="0" w:val="nil"/>
                <w:bottom w:space="0" w:sz="0" w:val="nil"/>
                <w:right w:space="0" w:sz="0" w:val="nil"/>
                <w:between w:space="0" w:sz="0" w:val="nil"/>
              </w:pBdr>
              <w:shd w:fill="auto" w:val="clear"/>
              <w:spacing w:after="0" w:before="120" w:line="360" w:lineRule="auto"/>
              <w:ind w:left="39" w:right="0" w:firstLine="0"/>
              <w:jc w:val="both"/>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Impiego solo di veicoli  a basso impatto ambientale (superiore a Euro 5 o veicoli che utilizzano combustibili alternativi quali: elettricità, idrogeno, biocarburanti, gas naturale, compreso il biometano, in forma gassosa (gas naturale compresso — GNC) e liquefatta (gas naturale liquefatto - GNL) e gas di petrolio liquefatto (GPL) o veicoli ibridi</w:t>
            </w:r>
          </w:p>
        </w:tc>
        <w:tc>
          <w:tcPr>
            <w:tcBorders>
              <w:top w:color="000000" w:space="0" w:sz="4" w:val="single"/>
              <w:left w:color="000000" w:space="0" w:sz="4" w:val="single"/>
              <w:bottom w:color="000000" w:space="0" w:sz="4" w:val="single"/>
              <w:right w:color="000000" w:space="0" w:sz="8" w:val="single"/>
            </w:tcBorders>
            <w:shd w:fill="auto" w:val="clear"/>
          </w:tcPr>
          <w:p w:rsidR="00000000" w:rsidDel="00000000" w:rsidP="00000000" w:rsidRDefault="00000000" w:rsidRPr="00000000" w14:paraId="00000349">
            <w:pPr>
              <w:keepNext w:val="0"/>
              <w:keepLines w:val="0"/>
              <w:widowControl w:val="1"/>
              <w:pBdr>
                <w:top w:space="0" w:sz="0" w:val="nil"/>
                <w:left w:space="0" w:sz="0" w:val="nil"/>
                <w:bottom w:space="0" w:sz="0" w:val="nil"/>
                <w:right w:space="0" w:sz="0" w:val="nil"/>
                <w:between w:space="0" w:sz="0" w:val="nil"/>
              </w:pBdr>
              <w:shd w:fill="auto" w:val="clear"/>
              <w:spacing w:after="0" w:before="120" w:line="360" w:lineRule="auto"/>
              <w:ind w:left="39" w:right="0" w:firstLine="0"/>
              <w:jc w:val="both"/>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 </w:t>
            </w:r>
          </w:p>
          <w:p w:rsidR="00000000" w:rsidDel="00000000" w:rsidP="00000000" w:rsidRDefault="00000000" w:rsidRPr="00000000" w14:paraId="0000034A">
            <w:pPr>
              <w:keepNext w:val="0"/>
              <w:keepLines w:val="0"/>
              <w:widowControl w:val="1"/>
              <w:pBdr>
                <w:top w:space="0" w:sz="0" w:val="nil"/>
                <w:left w:space="0" w:sz="0" w:val="nil"/>
                <w:bottom w:space="0" w:sz="0" w:val="nil"/>
                <w:right w:space="0" w:sz="0" w:val="nil"/>
                <w:between w:space="0" w:sz="0" w:val="nil"/>
              </w:pBdr>
              <w:shd w:fill="auto" w:val="clear"/>
              <w:spacing w:after="0" w:before="120" w:line="360" w:lineRule="auto"/>
              <w:ind w:left="39" w:right="0" w:firstLine="0"/>
              <w:jc w:val="both"/>
              <w:rPr>
                <w:rFonts w:ascii="Titillium" w:cs="Titillium" w:eastAsia="Titillium" w:hAnsi="Titillium"/>
                <w:sz w:val="18"/>
                <w:szCs w:val="18"/>
              </w:rPr>
            </w:pPr>
            <w:r w:rsidDel="00000000" w:rsidR="00000000" w:rsidRPr="00000000">
              <w:rPr>
                <w:rtl w:val="0"/>
              </w:rPr>
            </w:r>
          </w:p>
          <w:p w:rsidR="00000000" w:rsidDel="00000000" w:rsidP="00000000" w:rsidRDefault="00000000" w:rsidRPr="00000000" w14:paraId="0000034B">
            <w:pPr>
              <w:keepNext w:val="0"/>
              <w:keepLines w:val="0"/>
              <w:widowControl w:val="1"/>
              <w:pBdr>
                <w:top w:space="0" w:sz="0" w:val="nil"/>
                <w:left w:space="0" w:sz="0" w:val="nil"/>
                <w:bottom w:space="0" w:sz="0" w:val="nil"/>
                <w:right w:space="0" w:sz="0" w:val="nil"/>
                <w:between w:space="0" w:sz="0" w:val="nil"/>
              </w:pBdr>
              <w:shd w:fill="auto" w:val="clear"/>
              <w:spacing w:after="0" w:before="120" w:line="360" w:lineRule="auto"/>
              <w:ind w:left="39" w:right="0" w:firstLine="0"/>
              <w:jc w:val="both"/>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     5</w:t>
            </w:r>
          </w:p>
        </w:tc>
      </w:tr>
      <w:tr>
        <w:trPr>
          <w:cantSplit w:val="0"/>
          <w:trHeight w:val="180"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C">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D">
            <w:pPr>
              <w:widowControl w:val="0"/>
              <w:spacing w:line="276" w:lineRule="auto"/>
              <w:jc w:val="left"/>
              <w:rPr>
                <w:rFonts w:ascii="Titillium" w:cs="Titillium" w:eastAsia="Titillium" w:hAnsi="Titillium"/>
                <w:sz w:val="18"/>
                <w:szCs w:val="18"/>
              </w:rPr>
            </w:pPr>
            <w:r w:rsidDel="00000000" w:rsidR="00000000" w:rsidRPr="00000000">
              <w:rPr>
                <w:rtl w:val="0"/>
              </w:rPr>
            </w:r>
          </w:p>
          <w:p w:rsidR="00000000" w:rsidDel="00000000" w:rsidP="00000000" w:rsidRDefault="00000000" w:rsidRPr="00000000" w14:paraId="0000034E">
            <w:pPr>
              <w:spacing w:after="120" w:line="360" w:lineRule="auto"/>
              <w:ind w:left="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Nella relazione tecnica devono essere dichiarati, per ogni lotto, i veicoli che verranno utilizzati per l’esecuzione del servizio per ogni sede Arpae interessata, indicando il costruttore, la designazione commerciale e il modello, la categoria del veicolo, il motopropulsore (elettrico o ibrido, idrogeno) e per i veicoli ibridi, i livelli di emissione di CO2 misurati in omologazione secondo il ciclo di prova indicato.</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352">
            <w:pPr>
              <w:spacing w:after="60" w:before="60" w:line="240" w:lineRule="auto"/>
              <w:jc w:val="center"/>
              <w:rPr>
                <w:rFonts w:ascii="Titillium" w:cs="Titillium" w:eastAsia="Titillium" w:hAnsi="Titillium"/>
                <w:sz w:val="18"/>
                <w:szCs w:val="18"/>
              </w:rPr>
            </w:pPr>
            <w:r w:rsidDel="00000000" w:rsidR="00000000" w:rsidRPr="00000000">
              <w:rPr>
                <w:rtl w:val="0"/>
              </w:rPr>
            </w:r>
          </w:p>
        </w:tc>
      </w:tr>
      <w:tr>
        <w:trPr>
          <w:cantSplit w:val="0"/>
          <w:trHeight w:val="180"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3">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11</w:t>
            </w:r>
          </w:p>
        </w:tc>
        <w:tc>
          <w:tcPr>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354">
            <w:pPr>
              <w:spacing w:before="120" w:line="360" w:lineRule="auto"/>
              <w:rPr>
                <w:rFonts w:ascii="Times New Roman" w:cs="Times New Roman" w:eastAsia="Times New Roman" w:hAnsi="Times New Roman"/>
                <w:sz w:val="18"/>
                <w:szCs w:val="18"/>
              </w:rPr>
            </w:pPr>
            <w:r w:rsidDel="00000000" w:rsidR="00000000" w:rsidRPr="00000000">
              <w:rPr>
                <w:rFonts w:ascii="Arial" w:cs="Arial" w:eastAsia="Arial" w:hAnsi="Arial"/>
                <w:sz w:val="18"/>
                <w:szCs w:val="18"/>
                <w:rtl w:val="0"/>
              </w:rPr>
              <w:t xml:space="preserve">Recupero e  riuso dei fondi di caffè</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5">
            <w:pPr>
              <w:widowControl w:val="0"/>
              <w:spacing w:line="276" w:lineRule="auto"/>
              <w:jc w:val="left"/>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6">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11.1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7">
            <w:pPr>
              <w:spacing w:after="120" w:line="360" w:lineRule="auto"/>
              <w:ind w:left="170" w:hanging="113"/>
              <w:rPr>
                <w:rFonts w:ascii="Arial" w:cs="Arial" w:eastAsia="Arial" w:hAnsi="Arial"/>
                <w:sz w:val="18"/>
                <w:szCs w:val="18"/>
              </w:rPr>
            </w:pPr>
            <w:r w:rsidDel="00000000" w:rsidR="00000000" w:rsidRPr="00000000">
              <w:rPr>
                <w:rFonts w:ascii="Arial" w:cs="Arial" w:eastAsia="Arial" w:hAnsi="Arial"/>
                <w:sz w:val="18"/>
                <w:szCs w:val="18"/>
                <w:rtl w:val="0"/>
              </w:rPr>
              <w:t xml:space="preserve"> Progetti per il recupero e il riuso di fondi di caffè</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8">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3</w:t>
            </w:r>
          </w:p>
        </w:tc>
      </w:tr>
      <w:tr>
        <w:trPr>
          <w:cantSplit w:val="0"/>
          <w:trHeight w:val="180"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9">
            <w:pPr>
              <w:widowControl w:val="0"/>
              <w:spacing w:after="0" w:before="0" w:line="240" w:lineRule="auto"/>
              <w:ind w:left="0" w:firstLine="0"/>
              <w:jc w:val="left"/>
              <w:rPr>
                <w:rFonts w:ascii="Titillium" w:cs="Titillium" w:eastAsia="Titillium" w:hAnsi="Titillium"/>
                <w:sz w:val="18"/>
                <w:szCs w:val="18"/>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A">
            <w:pPr>
              <w:spacing w:after="120" w:line="240" w:lineRule="auto"/>
              <w:ind w:left="0" w:firstLine="0"/>
              <w:rPr>
                <w:rFonts w:ascii="Times New Roman" w:cs="Times New Roman" w:eastAsia="Times New Roman" w:hAnsi="Times New Roman"/>
                <w:sz w:val="18"/>
                <w:szCs w:val="18"/>
              </w:rPr>
            </w:pPr>
            <w:r w:rsidDel="00000000" w:rsidR="00000000" w:rsidRPr="00000000">
              <w:rPr>
                <w:rFonts w:ascii="Arial" w:cs="Arial" w:eastAsia="Arial" w:hAnsi="Arial"/>
                <w:sz w:val="18"/>
                <w:szCs w:val="18"/>
                <w:rtl w:val="0"/>
              </w:rPr>
              <w:t xml:space="preserve">La società offerente deve dichiarare nella relazione tecnica di riutilizzare i fondi di caffè raccolti separatamente dai distributori per la destinazione alla produzione di altri prodotti (es. integratori alimentari, barattoli, piatti, fertilizzanti per il compostaggio direttamente presso le aziende agricole, presentando uno studio di fattibilità con quantitativi di raccolta stimati, la descrizione della logistica e degli accordi preliminari con l’azienda e le aziende partner coinvolte).</w:t>
            </w:r>
            <w:r w:rsidDel="00000000" w:rsidR="00000000" w:rsidRPr="00000000">
              <w:rPr>
                <w:rtl w:val="0"/>
              </w:rPr>
            </w:r>
          </w:p>
          <w:p w:rsidR="00000000" w:rsidDel="00000000" w:rsidP="00000000" w:rsidRDefault="00000000" w:rsidRPr="00000000" w14:paraId="0000035B">
            <w:pPr>
              <w:widowControl w:val="0"/>
              <w:spacing w:line="276" w:lineRule="auto"/>
              <w:jc w:val="left"/>
              <w:rPr>
                <w:rFonts w:ascii="Titillium" w:cs="Titillium" w:eastAsia="Titillium" w:hAnsi="Titillium"/>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F">
            <w:pPr>
              <w:spacing w:after="60" w:before="60" w:line="240" w:lineRule="auto"/>
              <w:jc w:val="center"/>
              <w:rPr>
                <w:rFonts w:ascii="Titillium" w:cs="Titillium" w:eastAsia="Titillium" w:hAnsi="Titillium"/>
                <w:sz w:val="18"/>
                <w:szCs w:val="18"/>
              </w:rPr>
            </w:pPr>
            <w:r w:rsidDel="00000000" w:rsidR="00000000" w:rsidRPr="00000000">
              <w:rPr>
                <w:rtl w:val="0"/>
              </w:rPr>
            </w:r>
          </w:p>
        </w:tc>
      </w:tr>
      <w:tr>
        <w:trPr>
          <w:cantSplit w:val="0"/>
          <w:trHeight w:val="1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60">
            <w:pPr>
              <w:spacing w:after="60" w:before="60" w:line="240" w:lineRule="auto"/>
              <w:jc w:val="center"/>
              <w:rPr>
                <w:rFonts w:ascii="Titillium" w:cs="Titillium" w:eastAsia="Titillium" w:hAnsi="Titillium"/>
                <w:sz w:val="18"/>
                <w:szCs w:val="18"/>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61">
            <w:pPr>
              <w:spacing w:after="60" w:before="60" w:line="240" w:lineRule="auto"/>
              <w:jc w:val="cente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Totale</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65">
            <w:pPr>
              <w:spacing w:after="60" w:before="60" w:line="24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      70</w:t>
            </w:r>
          </w:p>
        </w:tc>
      </w:tr>
    </w:tbl>
    <w:p w:rsidR="00000000" w:rsidDel="00000000" w:rsidP="00000000" w:rsidRDefault="00000000" w:rsidRPr="00000000" w14:paraId="00000366">
      <w:pPr>
        <w:pStyle w:val="Heading2"/>
        <w:rPr/>
      </w:pPr>
      <w:bookmarkStart w:colFirst="0" w:colLast="0" w:name="_1664s55" w:id="46"/>
      <w:bookmarkEnd w:id="46"/>
      <w:r w:rsidDel="00000000" w:rsidR="00000000" w:rsidRPr="00000000">
        <w:rPr>
          <w:rtl w:val="0"/>
        </w:rPr>
        <w:t xml:space="preserve">18.2 METODO DI ATTRIBUZIONE DEL PUNTEGGIO DELL’OFFERTA ECONOMICA </w:t>
      </w:r>
    </w:p>
    <w:p w:rsidR="00000000" w:rsidDel="00000000" w:rsidP="00000000" w:rsidRDefault="00000000" w:rsidRPr="00000000" w14:paraId="00000367">
      <w:pPr>
        <w:widowControl w:val="0"/>
        <w:spacing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Terminata la valutazione delle offerte tecniche, saranno inseriti a sistema in corrispondenza di ciascun concorrente il totale dei punteggi tecnici assegnati dalla Commissione. Si procederà, conseguentemente, all’apertura delle offerte economiche e alla verifica della loro regolarità.</w:t>
      </w:r>
    </w:p>
    <w:p w:rsidR="00000000" w:rsidDel="00000000" w:rsidP="00000000" w:rsidRDefault="00000000" w:rsidRPr="00000000" w14:paraId="00000368">
      <w:pPr>
        <w:spacing w:after="100" w:before="100" w:line="360" w:lineRule="auto"/>
        <w:rPr>
          <w:rFonts w:ascii="Times New Roman" w:cs="Times New Roman" w:eastAsia="Times New Roman" w:hAnsi="Times New Roman"/>
          <w:sz w:val="18"/>
          <w:szCs w:val="18"/>
        </w:rPr>
      </w:pPr>
      <w:r w:rsidDel="00000000" w:rsidR="00000000" w:rsidRPr="00000000">
        <w:rPr>
          <w:rFonts w:ascii="Arial" w:cs="Arial" w:eastAsia="Arial" w:hAnsi="Arial"/>
          <w:sz w:val="18"/>
          <w:szCs w:val="18"/>
          <w:rtl w:val="0"/>
        </w:rPr>
        <w:t xml:space="preserve">Relativamente all’offerta economica, potranno essere attribuiti punteggi fino ad un massimo di </w:t>
      </w:r>
      <w:r w:rsidDel="00000000" w:rsidR="00000000" w:rsidRPr="00000000">
        <w:rPr>
          <w:rFonts w:ascii="Arial" w:cs="Arial" w:eastAsia="Arial" w:hAnsi="Arial"/>
          <w:b w:val="1"/>
          <w:sz w:val="18"/>
          <w:szCs w:val="18"/>
          <w:rtl w:val="0"/>
        </w:rPr>
        <w:t xml:space="preserve">30 punti,</w:t>
      </w:r>
      <w:r w:rsidDel="00000000" w:rsidR="00000000" w:rsidRPr="00000000">
        <w:rPr>
          <w:rFonts w:ascii="Arial" w:cs="Arial" w:eastAsia="Arial" w:hAnsi="Arial"/>
          <w:sz w:val="18"/>
          <w:szCs w:val="18"/>
          <w:rtl w:val="0"/>
        </w:rPr>
        <w:t xml:space="preserve"> cosi suddivisi:</w:t>
      </w:r>
      <w:r w:rsidDel="00000000" w:rsidR="00000000" w:rsidRPr="00000000">
        <w:rPr>
          <w:rtl w:val="0"/>
        </w:rPr>
      </w:r>
    </w:p>
    <w:p w:rsidR="00000000" w:rsidDel="00000000" w:rsidP="00000000" w:rsidRDefault="00000000" w:rsidRPr="00000000" w14:paraId="00000369">
      <w:pPr>
        <w:spacing w:after="100" w:before="100" w:line="360" w:lineRule="auto"/>
        <w:ind w:left="426"/>
        <w:rPr>
          <w:rFonts w:ascii="Times New Roman" w:cs="Times New Roman" w:eastAsia="Times New Roman" w:hAnsi="Times New Roman"/>
          <w:sz w:val="18"/>
          <w:szCs w:val="18"/>
        </w:rPr>
      </w:pPr>
      <w:r w:rsidDel="00000000" w:rsidR="00000000" w:rsidRPr="00000000">
        <w:rPr>
          <w:rFonts w:ascii="Arial" w:cs="Arial" w:eastAsia="Arial" w:hAnsi="Arial"/>
          <w:sz w:val="18"/>
          <w:szCs w:val="18"/>
          <w:rtl w:val="0"/>
        </w:rPr>
        <w:t xml:space="preserve">B1. Incremento del canone quadriennale totale di concessione rispetto al canone a base di appalto: </w:t>
      </w:r>
      <w:r w:rsidDel="00000000" w:rsidR="00000000" w:rsidRPr="00000000">
        <w:rPr>
          <w:rFonts w:ascii="Arial" w:cs="Arial" w:eastAsia="Arial" w:hAnsi="Arial"/>
          <w:b w:val="1"/>
          <w:sz w:val="18"/>
          <w:szCs w:val="18"/>
          <w:rtl w:val="0"/>
        </w:rPr>
        <w:t xml:space="preserve">max 15 punti</w:t>
      </w:r>
      <w:r w:rsidDel="00000000" w:rsidR="00000000" w:rsidRPr="00000000">
        <w:rPr>
          <w:rtl w:val="0"/>
        </w:rPr>
      </w:r>
    </w:p>
    <w:p w:rsidR="00000000" w:rsidDel="00000000" w:rsidP="00000000" w:rsidRDefault="00000000" w:rsidRPr="00000000" w14:paraId="0000036A">
      <w:pPr>
        <w:spacing w:after="100" w:before="100" w:line="360" w:lineRule="auto"/>
        <w:ind w:left="426"/>
        <w:rPr>
          <w:rFonts w:ascii="Times New Roman" w:cs="Times New Roman" w:eastAsia="Times New Roman" w:hAnsi="Times New Roman"/>
          <w:sz w:val="18"/>
          <w:szCs w:val="18"/>
        </w:rPr>
      </w:pPr>
      <w:r w:rsidDel="00000000" w:rsidR="00000000" w:rsidRPr="00000000">
        <w:rPr>
          <w:rFonts w:ascii="Arial" w:cs="Arial" w:eastAsia="Arial" w:hAnsi="Arial"/>
          <w:sz w:val="18"/>
          <w:szCs w:val="18"/>
          <w:rtl w:val="0"/>
        </w:rPr>
        <w:t xml:space="preserve">B2. Sconto medio ponderato dei prezzi dei prodotti offerti: </w:t>
      </w:r>
      <w:r w:rsidDel="00000000" w:rsidR="00000000" w:rsidRPr="00000000">
        <w:rPr>
          <w:rFonts w:ascii="Arial" w:cs="Arial" w:eastAsia="Arial" w:hAnsi="Arial"/>
          <w:b w:val="1"/>
          <w:sz w:val="18"/>
          <w:szCs w:val="18"/>
          <w:rtl w:val="0"/>
        </w:rPr>
        <w:t xml:space="preserve">max 15 punti</w:t>
      </w:r>
      <w:r w:rsidDel="00000000" w:rsidR="00000000" w:rsidRPr="00000000">
        <w:rPr>
          <w:rtl w:val="0"/>
        </w:rPr>
      </w:r>
    </w:p>
    <w:p w:rsidR="00000000" w:rsidDel="00000000" w:rsidP="00000000" w:rsidRDefault="00000000" w:rsidRPr="00000000" w14:paraId="0000036B">
      <w:pPr>
        <w:spacing w:after="100" w:before="100"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Per il punto B1. verrà assegnato il punteggio massimo di 15 punti all’offerta del concorrente che presenterà l’incremento del canone quadriennale più alto (da indicarsi al netto dell’IVA), rispetto al canone base indicato per ogni lotto pari ad euro:</w:t>
      </w:r>
    </w:p>
    <w:p w:rsidR="00000000" w:rsidDel="00000000" w:rsidP="00000000" w:rsidRDefault="00000000" w:rsidRPr="00000000" w14:paraId="0000036C">
      <w:pPr>
        <w:spacing w:after="100" w:before="100"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Lotto 1: </w:t>
      </w:r>
      <w:r w:rsidDel="00000000" w:rsidR="00000000" w:rsidRPr="00000000">
        <w:rPr>
          <w:rFonts w:ascii="Arial" w:cs="Arial" w:eastAsia="Arial" w:hAnsi="Arial"/>
          <w:sz w:val="18"/>
          <w:szCs w:val="18"/>
          <w:rtl w:val="0"/>
        </w:rPr>
        <w:t xml:space="preserve">9.000,00 (canone annuo 2.250,00)</w:t>
      </w:r>
    </w:p>
    <w:p w:rsidR="00000000" w:rsidDel="00000000" w:rsidP="00000000" w:rsidRDefault="00000000" w:rsidRPr="00000000" w14:paraId="0000036D">
      <w:pPr>
        <w:spacing w:after="100" w:before="100"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Lotto 2: 10.000,00 (canone annuo 2.500,00)</w:t>
      </w:r>
    </w:p>
    <w:p w:rsidR="00000000" w:rsidDel="00000000" w:rsidP="00000000" w:rsidRDefault="00000000" w:rsidRPr="00000000" w14:paraId="0000036E">
      <w:pPr>
        <w:spacing w:after="100" w:before="100"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Lotto 3: 12.000,00 (canone annuo  3.000,00)</w:t>
      </w:r>
    </w:p>
    <w:p w:rsidR="00000000" w:rsidDel="00000000" w:rsidP="00000000" w:rsidRDefault="00000000" w:rsidRPr="00000000" w14:paraId="0000036F">
      <w:pPr>
        <w:spacing w:after="100" w:before="100"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Lotto 4: 12.000,00 (canone annuo 3.000,00)</w:t>
      </w:r>
      <w:r w:rsidDel="00000000" w:rsidR="00000000" w:rsidRPr="00000000">
        <w:rPr>
          <w:rtl w:val="0"/>
        </w:rPr>
      </w:r>
    </w:p>
    <w:p w:rsidR="00000000" w:rsidDel="00000000" w:rsidP="00000000" w:rsidRDefault="00000000" w:rsidRPr="00000000" w14:paraId="00000370">
      <w:pPr>
        <w:spacing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Per le altre offerte di ciascun lotto il punteggio sarà determinato in misura proporzionale, nel modo seguente:</w:t>
      </w:r>
    </w:p>
    <w:p w:rsidR="00000000" w:rsidDel="00000000" w:rsidP="00000000" w:rsidRDefault="00000000" w:rsidRPr="00000000" w14:paraId="00000371">
      <w:pPr>
        <w:spacing w:line="360" w:lineRule="auto"/>
        <w:rPr>
          <w:rFonts w:ascii="Arial" w:cs="Arial" w:eastAsia="Arial" w:hAnsi="Arial"/>
          <w:sz w:val="18"/>
          <w:szCs w:val="18"/>
        </w:rPr>
      </w:pPr>
      <w:r w:rsidDel="00000000" w:rsidR="00000000" w:rsidRPr="00000000">
        <w:rPr>
          <w:rFonts w:ascii="Arial" w:cs="Arial" w:eastAsia="Arial" w:hAnsi="Arial"/>
          <w:sz w:val="18"/>
          <w:szCs w:val="18"/>
          <w:rtl w:val="0"/>
        </w:rPr>
        <w:tab/>
        <w:tab/>
        <w:tab/>
        <w:tab/>
        <w:t xml:space="preserve">Incremento canone offerto</w:t>
      </w:r>
    </w:p>
    <w:p w:rsidR="00000000" w:rsidDel="00000000" w:rsidP="00000000" w:rsidRDefault="00000000" w:rsidRPr="00000000" w14:paraId="00000372">
      <w:pPr>
        <w:spacing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Punteggio incremento canone B1.=______________________ X 15</w:t>
      </w:r>
    </w:p>
    <w:p w:rsidR="00000000" w:rsidDel="00000000" w:rsidP="00000000" w:rsidRDefault="00000000" w:rsidRPr="00000000" w14:paraId="00000373">
      <w:pPr>
        <w:spacing w:after="100" w:before="100" w:line="360" w:lineRule="auto"/>
        <w:rPr>
          <w:rFonts w:ascii="Arial" w:cs="Arial" w:eastAsia="Arial" w:hAnsi="Arial"/>
          <w:sz w:val="18"/>
          <w:szCs w:val="18"/>
        </w:rPr>
      </w:pPr>
      <w:r w:rsidDel="00000000" w:rsidR="00000000" w:rsidRPr="00000000">
        <w:rPr>
          <w:rFonts w:ascii="Arial" w:cs="Arial" w:eastAsia="Arial" w:hAnsi="Arial"/>
          <w:sz w:val="18"/>
          <w:szCs w:val="18"/>
          <w:rtl w:val="0"/>
        </w:rPr>
        <w:tab/>
        <w:tab/>
        <w:tab/>
        <w:tab/>
        <w:t xml:space="preserve">Incremento canone massimo</w:t>
      </w:r>
    </w:p>
    <w:p w:rsidR="00000000" w:rsidDel="00000000" w:rsidP="00000000" w:rsidRDefault="00000000" w:rsidRPr="00000000" w14:paraId="00000374">
      <w:pPr>
        <w:spacing w:after="100" w:before="100"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Per il punto B2. verrà assegnato il punteggio massimo di 15 punti all’offerta, per ogni lotto, del soggetto che presenterà il maggiore ribasso ponderato totale offerto, espresso in centesimi di euro IVA inclusa, per i prezzi dei prodotti erogati dai distributori rispetto ai prezzi massimi indicati da Arpae a base di gara, espresso in centesimi di euro.</w:t>
      </w:r>
    </w:p>
    <w:p w:rsidR="00000000" w:rsidDel="00000000" w:rsidP="00000000" w:rsidRDefault="00000000" w:rsidRPr="00000000" w14:paraId="00000375">
      <w:pPr>
        <w:spacing w:line="360" w:lineRule="auto"/>
        <w:rPr>
          <w:rFonts w:ascii="Times New Roman" w:cs="Times New Roman" w:eastAsia="Times New Roman" w:hAnsi="Times New Roman"/>
          <w:sz w:val="18"/>
          <w:szCs w:val="18"/>
        </w:rPr>
      </w:pPr>
      <w:r w:rsidDel="00000000" w:rsidR="00000000" w:rsidRPr="00000000">
        <w:rPr>
          <w:rFonts w:ascii="Arial" w:cs="Arial" w:eastAsia="Arial" w:hAnsi="Arial"/>
          <w:b w:val="1"/>
          <w:sz w:val="18"/>
          <w:szCs w:val="18"/>
          <w:rtl w:val="0"/>
        </w:rPr>
        <w:t xml:space="preserve">Il ribasso ponderato offerto per ogni prodotto</w:t>
      </w:r>
      <w:r w:rsidDel="00000000" w:rsidR="00000000" w:rsidRPr="00000000">
        <w:rPr>
          <w:rFonts w:ascii="Arial" w:cs="Arial" w:eastAsia="Arial" w:hAnsi="Arial"/>
          <w:sz w:val="18"/>
          <w:szCs w:val="18"/>
          <w:rtl w:val="0"/>
        </w:rPr>
        <w:t xml:space="preserve"> è determinato dalla differenza tra il prezzo indicato da Arpae e il prezzo offerto, ponderata con il peso attribuito da ARPAE per lo specifico prodotto, secondo la formula seguente:</w:t>
      </w:r>
      <w:r w:rsidDel="00000000" w:rsidR="00000000" w:rsidRPr="00000000">
        <w:rPr>
          <w:rtl w:val="0"/>
        </w:rPr>
      </w:r>
    </w:p>
    <w:p w:rsidR="00000000" w:rsidDel="00000000" w:rsidP="00000000" w:rsidRDefault="00000000" w:rsidRPr="00000000" w14:paraId="00000376">
      <w:pPr>
        <w:spacing w:line="360"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377">
      <w:pPr>
        <w:spacing w:line="360"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 = (A- B)x C</w:t>
      </w:r>
    </w:p>
    <w:p w:rsidR="00000000" w:rsidDel="00000000" w:rsidP="00000000" w:rsidRDefault="00000000" w:rsidRPr="00000000" w14:paraId="00000378">
      <w:pPr>
        <w:spacing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D = ribasso ponderato (in centesimi di euro) (colonna D della dichiarazione di offerta)</w:t>
      </w:r>
    </w:p>
    <w:p w:rsidR="00000000" w:rsidDel="00000000" w:rsidP="00000000" w:rsidRDefault="00000000" w:rsidRPr="00000000" w14:paraId="00000379">
      <w:pPr>
        <w:spacing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A = prezzo massimo del prodotto stabilito da ARPAE (colonna A della dichiarazione di offerta)</w:t>
      </w:r>
    </w:p>
    <w:p w:rsidR="00000000" w:rsidDel="00000000" w:rsidP="00000000" w:rsidRDefault="00000000" w:rsidRPr="00000000" w14:paraId="0000037A">
      <w:pPr>
        <w:spacing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B = prezzo del prodotto offerto </w:t>
      </w:r>
    </w:p>
    <w:p w:rsidR="00000000" w:rsidDel="00000000" w:rsidP="00000000" w:rsidRDefault="00000000" w:rsidRPr="00000000" w14:paraId="0000037B">
      <w:pPr>
        <w:spacing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C= peso ponderativo (colonna C della dichiarazione di offerta), in percentuale.</w:t>
      </w:r>
    </w:p>
    <w:p w:rsidR="00000000" w:rsidDel="00000000" w:rsidP="00000000" w:rsidRDefault="00000000" w:rsidRPr="00000000" w14:paraId="0000037C">
      <w:pPr>
        <w:spacing w:line="360"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37D">
      <w:pPr>
        <w:spacing w:line="360" w:lineRule="auto"/>
        <w:rPr>
          <w:rFonts w:ascii="Times New Roman" w:cs="Times New Roman" w:eastAsia="Times New Roman" w:hAnsi="Times New Roman"/>
          <w:sz w:val="18"/>
          <w:szCs w:val="18"/>
        </w:rPr>
      </w:pPr>
      <w:r w:rsidDel="00000000" w:rsidR="00000000" w:rsidRPr="00000000">
        <w:rPr>
          <w:rFonts w:ascii="Arial" w:cs="Arial" w:eastAsia="Arial" w:hAnsi="Arial"/>
          <w:b w:val="1"/>
          <w:sz w:val="18"/>
          <w:szCs w:val="18"/>
          <w:rtl w:val="0"/>
        </w:rPr>
        <w:t xml:space="preserve">Il ribasso ponderato totale</w:t>
      </w:r>
      <w:r w:rsidDel="00000000" w:rsidR="00000000" w:rsidRPr="00000000">
        <w:rPr>
          <w:rFonts w:ascii="Arial" w:cs="Arial" w:eastAsia="Arial" w:hAnsi="Arial"/>
          <w:sz w:val="18"/>
          <w:szCs w:val="18"/>
          <w:rtl w:val="0"/>
        </w:rPr>
        <w:t xml:space="preserve"> (espresso in centesimi di euro) è determinato come sommatoria dei ribassi ponderati offerti per ogni prodotto.</w:t>
      </w:r>
      <w:r w:rsidDel="00000000" w:rsidR="00000000" w:rsidRPr="00000000">
        <w:rPr>
          <w:rtl w:val="0"/>
        </w:rPr>
      </w:r>
    </w:p>
    <w:p w:rsidR="00000000" w:rsidDel="00000000" w:rsidP="00000000" w:rsidRDefault="00000000" w:rsidRPr="00000000" w14:paraId="0000037E">
      <w:pPr>
        <w:spacing w:line="360"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37F">
      <w:pPr>
        <w:spacing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Per le offerte di ciascun lotto il punteggio sarà determinato in misura proporzionale, nel modo seguente:</w:t>
      </w:r>
    </w:p>
    <w:p w:rsidR="00000000" w:rsidDel="00000000" w:rsidP="00000000" w:rsidRDefault="00000000" w:rsidRPr="00000000" w14:paraId="00000380">
      <w:pPr>
        <w:spacing w:line="360" w:lineRule="auto"/>
        <w:jc w:val="center"/>
        <w:rPr>
          <w:rFonts w:ascii="Times New Roman" w:cs="Times New Roman" w:eastAsia="Times New Roman" w:hAnsi="Times New Roman"/>
          <w:sz w:val="18"/>
          <w:szCs w:val="18"/>
        </w:rPr>
      </w:pPr>
      <w:r w:rsidDel="00000000" w:rsidR="00000000" w:rsidRPr="00000000">
        <w:rPr>
          <w:rFonts w:ascii="Arial" w:cs="Arial" w:eastAsia="Arial" w:hAnsi="Arial"/>
          <w:sz w:val="18"/>
          <w:szCs w:val="18"/>
          <w:rtl w:val="0"/>
        </w:rPr>
        <w:t xml:space="preserve">    ribasso  ponderato totale offerto</w:t>
      </w:r>
      <w:r w:rsidDel="00000000" w:rsidR="00000000" w:rsidRPr="00000000">
        <w:rPr>
          <w:rtl w:val="0"/>
        </w:rPr>
      </w:r>
    </w:p>
    <w:p w:rsidR="00000000" w:rsidDel="00000000" w:rsidP="00000000" w:rsidRDefault="00000000" w:rsidRPr="00000000" w14:paraId="00000381">
      <w:pPr>
        <w:spacing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Punteggio ribasso ponderato B2. =    ______________________________   X15</w:t>
      </w:r>
    </w:p>
    <w:p w:rsidR="00000000" w:rsidDel="00000000" w:rsidP="00000000" w:rsidRDefault="00000000" w:rsidRPr="00000000" w14:paraId="00000382">
      <w:pPr>
        <w:spacing w:line="360" w:lineRule="auto"/>
        <w:jc w:val="center"/>
        <w:rPr>
          <w:rFonts w:ascii="Times New Roman" w:cs="Times New Roman" w:eastAsia="Times New Roman" w:hAnsi="Times New Roman"/>
          <w:sz w:val="18"/>
          <w:szCs w:val="18"/>
        </w:rPr>
      </w:pPr>
      <w:r w:rsidDel="00000000" w:rsidR="00000000" w:rsidRPr="00000000">
        <w:rPr>
          <w:rFonts w:ascii="Arial" w:cs="Arial" w:eastAsia="Arial" w:hAnsi="Arial"/>
          <w:sz w:val="18"/>
          <w:szCs w:val="18"/>
          <w:rtl w:val="0"/>
        </w:rPr>
        <w:t xml:space="preserve">ribasso ponderato totale massimo</w:t>
      </w:r>
      <w:r w:rsidDel="00000000" w:rsidR="00000000" w:rsidRPr="00000000">
        <w:rPr>
          <w:rtl w:val="0"/>
        </w:rPr>
      </w:r>
    </w:p>
    <w:p w:rsidR="00000000" w:rsidDel="00000000" w:rsidP="00000000" w:rsidRDefault="00000000" w:rsidRPr="00000000" w14:paraId="00000383">
      <w:pPr>
        <w:spacing w:line="276" w:lineRule="auto"/>
        <w:rPr>
          <w:rFonts w:ascii="Titillium" w:cs="Titillium" w:eastAsia="Titillium" w:hAnsi="Titillium"/>
          <w:b w:val="1"/>
          <w:i w:val="1"/>
          <w:sz w:val="18"/>
          <w:szCs w:val="18"/>
          <w:highlight w:val="white"/>
        </w:rPr>
      </w:pPr>
      <w:r w:rsidDel="00000000" w:rsidR="00000000" w:rsidRPr="00000000">
        <w:rPr>
          <w:rFonts w:ascii="Arial" w:cs="Arial" w:eastAsia="Arial" w:hAnsi="Arial"/>
          <w:sz w:val="18"/>
          <w:szCs w:val="18"/>
          <w:highlight w:val="white"/>
          <w:rtl w:val="0"/>
        </w:rPr>
        <w:t xml:space="preserve">Al di fuori della piattaforma</w:t>
      </w:r>
      <w:r w:rsidDel="00000000" w:rsidR="00000000" w:rsidRPr="00000000">
        <w:rPr>
          <w:rFonts w:ascii="Arial" w:cs="Arial" w:eastAsia="Arial" w:hAnsi="Arial"/>
          <w:sz w:val="18"/>
          <w:szCs w:val="18"/>
          <w:highlight w:val="white"/>
          <w:rtl w:val="0"/>
        </w:rPr>
        <w:t xml:space="preserve"> la Commissione effettuerà il calcolo del punteggio come sopra descritto. Al concorrente che avrà ottenuto il punteggio complessivo più alto per ogni lotto, dato dalla somma tra il punteggio relativo all’incremento del canone  e il punteggio relativo al ribasso ponderato totale, si assegnerà un coefficiente pari a 1, agli altri un coefficiente (tra 0 e 1) proporzionale al punteggio massimo. I coefficienti così ottenuti saranno moltiplicati al punteggio massimo previsto per la parte economica (30 punti).  </w:t>
      </w:r>
      <w:r w:rsidDel="00000000" w:rsidR="00000000" w:rsidRPr="00000000">
        <w:rPr>
          <w:rtl w:val="0"/>
        </w:rPr>
      </w:r>
    </w:p>
    <w:p w:rsidR="00000000" w:rsidDel="00000000" w:rsidP="00000000" w:rsidRDefault="00000000" w:rsidRPr="00000000" w14:paraId="00000384">
      <w:pPr>
        <w:pStyle w:val="Heading1"/>
        <w:tabs>
          <w:tab w:val="left" w:leader="none" w:pos="6521"/>
        </w:tabs>
        <w:spacing w:before="60" w:lineRule="auto"/>
        <w:rPr/>
      </w:pPr>
      <w:bookmarkStart w:colFirst="0" w:colLast="0" w:name="_kgcv8k" w:id="47"/>
      <w:bookmarkEnd w:id="47"/>
      <w:r w:rsidDel="00000000" w:rsidR="00000000" w:rsidRPr="00000000">
        <w:rPr>
          <w:rtl w:val="0"/>
        </w:rPr>
        <w:t xml:space="preserve">19. </w:t>
      </w:r>
      <w:r w:rsidDel="00000000" w:rsidR="00000000" w:rsidRPr="00000000">
        <w:rPr>
          <w:rtl w:val="0"/>
        </w:rPr>
        <w:t xml:space="preserve">COMMISSIONE GIUDICATRICE</w:t>
      </w:r>
    </w:p>
    <w:p w:rsidR="00000000" w:rsidDel="00000000" w:rsidP="00000000" w:rsidRDefault="00000000" w:rsidRPr="00000000" w14:paraId="00000385">
      <w:pPr>
        <w:tabs>
          <w:tab w:val="left" w:leader="none" w:pos="6521"/>
        </w:tabs>
        <w:spacing w:after="60" w:before="120" w:lineRule="auto"/>
        <w:rPr/>
      </w:pPr>
      <w:r w:rsidDel="00000000" w:rsidR="00000000" w:rsidRPr="00000000">
        <w:rPr>
          <w:rFonts w:ascii="Titillium" w:cs="Titillium" w:eastAsia="Titillium" w:hAnsi="Titillium"/>
          <w:sz w:val="18"/>
          <w:szCs w:val="18"/>
          <w:rtl w:val="0"/>
        </w:rPr>
        <w:t xml:space="preserve">La commissione giudicatrice è nominata dopo la scadenza del termine per la presentazione delle offerte ed è composta da un numero dispari pari a n. 3 </w:t>
      </w:r>
      <w:r w:rsidDel="00000000" w:rsidR="00000000" w:rsidRPr="00000000">
        <w:rPr>
          <w:rFonts w:ascii="Titillium" w:cs="Titillium" w:eastAsia="Titillium" w:hAnsi="Titillium"/>
          <w:sz w:val="18"/>
          <w:szCs w:val="18"/>
          <w:rtl w:val="0"/>
        </w:rPr>
        <w:t xml:space="preserve">membri, esperti nello specifico settore cui si riferisce l’oggetto del contratto. In capo ai commissari non devono sussistere cause ostative alla nomina ai sensi dell’articolo 93 comma 5 del Codice. A tal fine viene richiesta, prima del conferimento dell’incarico, apposita dichiarazione. </w:t>
      </w:r>
      <w:r w:rsidDel="00000000" w:rsidR="00000000" w:rsidRPr="00000000">
        <w:rPr>
          <w:rtl w:val="0"/>
        </w:rPr>
      </w:r>
    </w:p>
    <w:p w:rsidR="00000000" w:rsidDel="00000000" w:rsidP="00000000" w:rsidRDefault="00000000" w:rsidRPr="00000000" w14:paraId="00000386">
      <w:pPr>
        <w:keepNext w:val="0"/>
        <w:keepLines w:val="0"/>
        <w:pageBreakBefore w:val="0"/>
        <w:widowControl w:val="0"/>
        <w:pBdr>
          <w:top w:space="0" w:sz="0" w:val="nil"/>
          <w:left w:space="0" w:sz="0" w:val="nil"/>
          <w:bottom w:space="0" w:sz="0" w:val="nil"/>
          <w:right w:space="0" w:sz="0" w:val="nil"/>
          <w:between w:space="0" w:sz="0" w:val="nil"/>
        </w:pBdr>
        <w:shd w:fill="auto" w:val="clear"/>
        <w:spacing w:after="60" w:before="60" w:line="276" w:lineRule="auto"/>
        <w:ind w:left="0" w:right="0" w:firstLine="0"/>
        <w:jc w:val="both"/>
        <w:rPr>
          <w:rFonts w:ascii="Book Antiqua" w:cs="Book Antiqua" w:eastAsia="Book Antiqua" w:hAnsi="Book Antiqua"/>
          <w:b w:val="0"/>
          <w:i w:val="0"/>
          <w:smallCaps w:val="0"/>
          <w:strike w:val="0"/>
          <w:color w:val="000000"/>
          <w:sz w:val="24"/>
          <w:szCs w:val="24"/>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La composizione della commissione giudicatrice e i curricula dei componenti sono pubblicati sul sito istituzionale nella sezione “Amministrazione trasparente”.</w:t>
      </w:r>
      <w:r w:rsidDel="00000000" w:rsidR="00000000" w:rsidRPr="00000000">
        <w:rPr>
          <w:rtl w:val="0"/>
        </w:rPr>
      </w:r>
    </w:p>
    <w:p w:rsidR="00000000" w:rsidDel="00000000" w:rsidP="00000000" w:rsidRDefault="00000000" w:rsidRPr="00000000" w14:paraId="00000387">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commissione giudicatrice è responsabile della valutazione delle offerte tecniche ed economiche dei concorrenti, può riunirsi con modalità telematiche che salvaguardino la riservatezza delle comunicazioni ed opera attraverso la piattaforma di approvvigionamento digitale. </w:t>
      </w:r>
    </w:p>
    <w:p w:rsidR="00000000" w:rsidDel="00000000" w:rsidP="00000000" w:rsidRDefault="00000000" w:rsidRPr="00000000" w14:paraId="00000388">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Il RUP si avvale dell’ausilio della commissione giudicatrice ai fini della verifica della documentazione amministrativa e dell’anomalia delle offerte.</w:t>
      </w:r>
    </w:p>
    <w:p w:rsidR="00000000" w:rsidDel="00000000" w:rsidP="00000000" w:rsidRDefault="00000000" w:rsidRPr="00000000" w14:paraId="00000389">
      <w:pPr>
        <w:pStyle w:val="Heading1"/>
        <w:spacing w:before="60" w:lineRule="auto"/>
        <w:rPr/>
      </w:pPr>
      <w:bookmarkStart w:colFirst="0" w:colLast="0" w:name="_34g0dwd" w:id="48"/>
      <w:bookmarkEnd w:id="48"/>
      <w:r w:rsidDel="00000000" w:rsidR="00000000" w:rsidRPr="00000000">
        <w:rPr>
          <w:rtl w:val="0"/>
        </w:rPr>
        <w:t xml:space="preserve">20. SVOLGIMENTO DELLE OPERAZIONI DI GARA </w:t>
      </w:r>
    </w:p>
    <w:p w:rsidR="00000000" w:rsidDel="00000000" w:rsidP="00000000" w:rsidRDefault="00000000" w:rsidRPr="00000000" w14:paraId="0000038A">
      <w:pPr>
        <w:spacing w:after="60" w:before="60" w:lineRule="auto"/>
        <w:rPr>
          <w:rFonts w:ascii="Titillium" w:cs="Titillium" w:eastAsia="Titillium" w:hAnsi="Titillium"/>
          <w:sz w:val="18"/>
          <w:szCs w:val="18"/>
          <w:highlight w:val="white"/>
        </w:rPr>
      </w:pPr>
      <w:r w:rsidDel="00000000" w:rsidR="00000000" w:rsidRPr="00000000">
        <w:rPr>
          <w:rFonts w:ascii="Titillium" w:cs="Titillium" w:eastAsia="Titillium" w:hAnsi="Titillium"/>
          <w:sz w:val="18"/>
          <w:szCs w:val="18"/>
          <w:rtl w:val="0"/>
        </w:rPr>
        <w:t xml:space="preserve">La prima sessione ha luogo il gior</w:t>
      </w:r>
      <w:r w:rsidDel="00000000" w:rsidR="00000000" w:rsidRPr="00000000">
        <w:rPr>
          <w:rFonts w:ascii="Titillium" w:cs="Titillium" w:eastAsia="Titillium" w:hAnsi="Titillium"/>
          <w:sz w:val="18"/>
          <w:szCs w:val="18"/>
          <w:highlight w:val="white"/>
          <w:rtl w:val="0"/>
        </w:rPr>
        <w:t xml:space="preserve">no 9 aprile 2024, alle ore 14:00  in seduta pubblica virtuale</w:t>
      </w:r>
    </w:p>
    <w:p w:rsidR="00000000" w:rsidDel="00000000" w:rsidP="00000000" w:rsidRDefault="00000000" w:rsidRPr="00000000" w14:paraId="0000038B">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Piattaforma consente lo svolgimento delle sessioni di gara preordinate all’esame:</w:t>
      </w:r>
    </w:p>
    <w:p w:rsidR="00000000" w:rsidDel="00000000" w:rsidP="00000000" w:rsidRDefault="00000000" w:rsidRPr="00000000" w14:paraId="0000038C">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w:t>
        <w:tab/>
        <w:t xml:space="preserve">della documentazione amministrativa;</w:t>
      </w:r>
    </w:p>
    <w:p w:rsidR="00000000" w:rsidDel="00000000" w:rsidP="00000000" w:rsidRDefault="00000000" w:rsidRPr="00000000" w14:paraId="0000038D">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w:t>
        <w:tab/>
        <w:t xml:space="preserve">delle offerte tecniche;</w:t>
      </w:r>
    </w:p>
    <w:p w:rsidR="00000000" w:rsidDel="00000000" w:rsidP="00000000" w:rsidRDefault="00000000" w:rsidRPr="00000000" w14:paraId="0000038E">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w:t>
        <w:tab/>
        <w:t xml:space="preserve">delle offerte economiche.</w:t>
      </w:r>
    </w:p>
    <w:p w:rsidR="00000000" w:rsidDel="00000000" w:rsidP="00000000" w:rsidRDefault="00000000" w:rsidRPr="00000000" w14:paraId="0000038F">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piattaforma garantisce il rispetto delle disposizioni del codice in materia di riservatezza delle operazioni e delle informazioni relative alla procedura di gara, nonché il rispetto dei principi di trasparenza.</w:t>
      </w:r>
    </w:p>
    <w:p w:rsidR="00000000" w:rsidDel="00000000" w:rsidP="00000000" w:rsidRDefault="00000000" w:rsidRPr="00000000" w14:paraId="00000390">
      <w:pPr>
        <w:pStyle w:val="Heading1"/>
        <w:spacing w:before="60" w:lineRule="auto"/>
        <w:rPr/>
      </w:pPr>
      <w:bookmarkStart w:colFirst="0" w:colLast="0" w:name="_1jlao46" w:id="49"/>
      <w:bookmarkEnd w:id="49"/>
      <w:r w:rsidDel="00000000" w:rsidR="00000000" w:rsidRPr="00000000">
        <w:rPr>
          <w:rtl w:val="0"/>
        </w:rPr>
        <w:t xml:space="preserve">21. VERIFICA DOCUMENTAZIONE AMMINISTRATIVA</w:t>
      </w:r>
    </w:p>
    <w:p w:rsidR="00000000" w:rsidDel="00000000" w:rsidP="00000000" w:rsidRDefault="00000000" w:rsidRPr="00000000" w14:paraId="00000391">
      <w:pPr>
        <w:spacing w:after="60" w:before="60" w:lineRule="auto"/>
        <w:rPr/>
      </w:pPr>
      <w:r w:rsidDel="00000000" w:rsidR="00000000" w:rsidRPr="00000000">
        <w:rPr>
          <w:rFonts w:ascii="Titillium" w:cs="Titillium" w:eastAsia="Titillium" w:hAnsi="Titillium"/>
          <w:sz w:val="18"/>
          <w:szCs w:val="18"/>
          <w:rtl w:val="0"/>
        </w:rPr>
        <w:t xml:space="preserve">Il RUP accede alla documentazione amministrativa di ciascun concorrente, mentre l’offerta tecnica e l’offerta economica restano, chiuse, segrete e bloccate dal sistema, e procede a: </w:t>
      </w:r>
      <w:r w:rsidDel="00000000" w:rsidR="00000000" w:rsidRPr="00000000">
        <w:rPr>
          <w:rtl w:val="0"/>
        </w:rPr>
      </w:r>
    </w:p>
    <w:p w:rsidR="00000000" w:rsidDel="00000000" w:rsidP="00000000" w:rsidRDefault="00000000" w:rsidRPr="00000000" w14:paraId="00000392">
      <w:pPr>
        <w:numPr>
          <w:ilvl w:val="0"/>
          <w:numId w:val="7"/>
        </w:numPr>
        <w:tabs>
          <w:tab w:val="left" w:leader="none" w:pos="851"/>
        </w:tabs>
        <w:spacing w:after="60" w:before="60" w:lineRule="auto"/>
        <w:ind w:left="426" w:hanging="360"/>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controllare la completezza della documentazione amministrativa presentata;</w:t>
      </w:r>
    </w:p>
    <w:p w:rsidR="00000000" w:rsidDel="00000000" w:rsidP="00000000" w:rsidRDefault="00000000" w:rsidRPr="00000000" w14:paraId="00000393">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left" w:leader="none" w:pos="851"/>
        </w:tabs>
        <w:spacing w:after="60" w:before="60" w:line="276" w:lineRule="auto"/>
        <w:ind w:left="426"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verificare la conformità della documentazione amministrativa a quanto richiesto nel presente disciplinare;</w:t>
      </w:r>
    </w:p>
    <w:p w:rsidR="00000000" w:rsidDel="00000000" w:rsidP="00000000" w:rsidRDefault="00000000" w:rsidRPr="00000000" w14:paraId="00000394">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left" w:leader="none" w:pos="851"/>
        </w:tabs>
        <w:spacing w:after="60" w:before="60" w:line="276" w:lineRule="auto"/>
        <w:ind w:left="426"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attivare la procedura di soccorso istruttorio di cui al precedente punto 14. </w:t>
      </w:r>
    </w:p>
    <w:p w:rsidR="00000000" w:rsidDel="00000000" w:rsidP="00000000" w:rsidRDefault="00000000" w:rsidRPr="00000000" w14:paraId="00000395">
      <w:pPr>
        <w:tabs>
          <w:tab w:val="left" w:leader="none" w:pos="851"/>
        </w:tabs>
        <w:spacing w:after="60" w:before="60" w:lineRule="auto"/>
        <w:ind w:left="66" w:firstLine="0"/>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Gli eventuali provvedimenti di esclusione dalla procedura di gara sono comunicati entro cinque giorni dalla loro adozione.</w:t>
      </w:r>
      <w:r w:rsidDel="00000000" w:rsidR="00000000" w:rsidRPr="00000000">
        <w:rPr>
          <w:rtl w:val="0"/>
        </w:rPr>
        <w:t xml:space="preserve"> </w:t>
      </w:r>
      <w:r w:rsidDel="00000000" w:rsidR="00000000" w:rsidRPr="00000000">
        <w:rPr>
          <w:rFonts w:ascii="Titillium" w:cs="Titillium" w:eastAsia="Titillium" w:hAnsi="Titillium"/>
          <w:sz w:val="18"/>
          <w:szCs w:val="18"/>
          <w:rtl w:val="0"/>
        </w:rPr>
        <w:t xml:space="preserve">È fatta salva la possibilità di chiedere agli offerenti, in qualsiasi momento nel corso della procedura, di presentare tutti i documenti complementari o parte di essi, qualora questo sia necessario per assicurare il corretto svolgimento della procedura. </w:t>
      </w:r>
    </w:p>
    <w:p w:rsidR="00000000" w:rsidDel="00000000" w:rsidP="00000000" w:rsidRDefault="00000000" w:rsidRPr="00000000" w14:paraId="00000396">
      <w:pPr>
        <w:pStyle w:val="Heading1"/>
        <w:spacing w:before="60" w:lineRule="auto"/>
        <w:rPr/>
      </w:pPr>
      <w:bookmarkStart w:colFirst="0" w:colLast="0" w:name="_43ky6rz" w:id="50"/>
      <w:bookmarkEnd w:id="50"/>
      <w:r w:rsidDel="00000000" w:rsidR="00000000" w:rsidRPr="00000000">
        <w:rPr>
          <w:rtl w:val="0"/>
        </w:rPr>
        <w:t xml:space="preserve">22. VALUTAZIONE DELLE OFFERTE TECNICHE ED ECONOMICHE</w:t>
      </w:r>
    </w:p>
    <w:p w:rsidR="00000000" w:rsidDel="00000000" w:rsidP="00000000" w:rsidRDefault="00000000" w:rsidRPr="00000000" w14:paraId="00000397">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data e l’ora in cui si procede all’apertura delle offerte tecniche</w:t>
      </w:r>
      <w:r w:rsidDel="00000000" w:rsidR="00000000" w:rsidRPr="00000000">
        <w:rPr>
          <w:rFonts w:ascii="Titillium" w:cs="Titillium" w:eastAsia="Titillium" w:hAnsi="Titillium"/>
          <w:sz w:val="18"/>
          <w:szCs w:val="18"/>
          <w:rtl w:val="0"/>
        </w:rPr>
        <w:t xml:space="preserve"> relativamente a ciascun singolo lotto</w:t>
      </w:r>
      <w:r w:rsidDel="00000000" w:rsidR="00000000" w:rsidRPr="00000000">
        <w:rPr>
          <w:rFonts w:ascii="Titillium" w:cs="Titillium" w:eastAsia="Titillium" w:hAnsi="Titillium"/>
          <w:i w:val="1"/>
          <w:sz w:val="18"/>
          <w:szCs w:val="18"/>
          <w:rtl w:val="0"/>
        </w:rPr>
        <w:t xml:space="preserve"> </w:t>
      </w:r>
      <w:r w:rsidDel="00000000" w:rsidR="00000000" w:rsidRPr="00000000">
        <w:rPr>
          <w:rFonts w:ascii="Titillium" w:cs="Titillium" w:eastAsia="Titillium" w:hAnsi="Titillium"/>
          <w:sz w:val="18"/>
          <w:szCs w:val="18"/>
          <w:rtl w:val="0"/>
        </w:rPr>
        <w:t xml:space="preserve">sono comunicate tramite la Piattaforma ai concorrenti ammessi alla presente fase di gara.</w:t>
      </w:r>
    </w:p>
    <w:p w:rsidR="00000000" w:rsidDel="00000000" w:rsidP="00000000" w:rsidRDefault="00000000" w:rsidRPr="00000000" w14:paraId="00000398">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commissione giudicatrice  procede relativamente a ciascun singolo lotto  all’apertura delle offerte presentate.  La commissione giudicatrice procede all’esame e valutazione delle offerte presentate dai concorrenti e all’assegnazione dei relativi punteggi applicando i criteri e le formule indicati nel bando e nel presente disciplinare. Gli esiti della valutazione sono registrati dalla Piattaforma.</w:t>
      </w:r>
    </w:p>
    <w:p w:rsidR="00000000" w:rsidDel="00000000" w:rsidP="00000000" w:rsidRDefault="00000000" w:rsidRPr="00000000" w14:paraId="00000399">
      <w:pPr>
        <w:rPr>
          <w:rFonts w:ascii="Titillium" w:cs="Titillium" w:eastAsia="Titillium" w:hAnsi="Titillium"/>
          <w:sz w:val="20"/>
          <w:szCs w:val="20"/>
        </w:rPr>
      </w:pPr>
      <w:r w:rsidDel="00000000" w:rsidR="00000000" w:rsidRPr="00000000">
        <w:rPr>
          <w:rFonts w:ascii="Titillium" w:cs="Titillium" w:eastAsia="Titillium" w:hAnsi="Titillium"/>
          <w:sz w:val="18"/>
          <w:szCs w:val="18"/>
          <w:rtl w:val="0"/>
        </w:rPr>
        <w:t xml:space="preserve">La commissione giudicatrice rende visibile ai concorrenti, con le modalità di cui all’articolo 20: </w:t>
      </w:r>
      <w:r w:rsidDel="00000000" w:rsidR="00000000" w:rsidRPr="00000000">
        <w:rPr>
          <w:rtl w:val="0"/>
        </w:rPr>
      </w:r>
    </w:p>
    <w:p w:rsidR="00000000" w:rsidDel="00000000" w:rsidP="00000000" w:rsidRDefault="00000000" w:rsidRPr="00000000" w14:paraId="0000039A">
      <w:pPr>
        <w:ind w:left="284" w:firstLine="0"/>
        <w:rPr>
          <w:rFonts w:ascii="Titillium" w:cs="Titillium" w:eastAsia="Titillium" w:hAnsi="Titillium"/>
          <w:sz w:val="20"/>
          <w:szCs w:val="20"/>
        </w:rPr>
      </w:pPr>
      <w:r w:rsidDel="00000000" w:rsidR="00000000" w:rsidRPr="00000000">
        <w:rPr>
          <w:rFonts w:ascii="Titillium" w:cs="Titillium" w:eastAsia="Titillium" w:hAnsi="Titillium"/>
          <w:sz w:val="18"/>
          <w:szCs w:val="18"/>
          <w:rtl w:val="0"/>
        </w:rPr>
        <w:t xml:space="preserve">a) i punteggi tecnici attribuiti alle singole offerte tecniche;</w:t>
      </w:r>
      <w:r w:rsidDel="00000000" w:rsidR="00000000" w:rsidRPr="00000000">
        <w:rPr>
          <w:rtl w:val="0"/>
        </w:rPr>
      </w:r>
    </w:p>
    <w:p w:rsidR="00000000" w:rsidDel="00000000" w:rsidP="00000000" w:rsidRDefault="00000000" w:rsidRPr="00000000" w14:paraId="0000039B">
      <w:pPr>
        <w:ind w:left="284" w:firstLine="0"/>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b) le eventuali esclusioni dalla gara dei concorrenti.</w:t>
      </w:r>
    </w:p>
    <w:p w:rsidR="00000000" w:rsidDel="00000000" w:rsidP="00000000" w:rsidRDefault="00000000" w:rsidRPr="00000000" w14:paraId="0000039C">
      <w:pPr>
        <w:rPr>
          <w:rFonts w:ascii="Titillium" w:cs="Titillium" w:eastAsia="Titillium" w:hAnsi="Titillium"/>
          <w:sz w:val="20"/>
          <w:szCs w:val="20"/>
        </w:rPr>
      </w:pPr>
      <w:r w:rsidDel="00000000" w:rsidR="00000000" w:rsidRPr="00000000">
        <w:rPr>
          <w:rFonts w:ascii="Titillium" w:cs="Titillium" w:eastAsia="Titillium" w:hAnsi="Titillium"/>
          <w:sz w:val="18"/>
          <w:szCs w:val="18"/>
          <w:rtl w:val="0"/>
        </w:rPr>
        <w:t xml:space="preserve">Al termine delle operazioni di cui sopra la Piattaforma consente la prosecuzione della procedura ai soli concorrenti ammessi alla valutazione delle offerte economiche. </w:t>
      </w:r>
      <w:r w:rsidDel="00000000" w:rsidR="00000000" w:rsidRPr="00000000">
        <w:rPr>
          <w:rtl w:val="0"/>
        </w:rPr>
      </w:r>
    </w:p>
    <w:p w:rsidR="00000000" w:rsidDel="00000000" w:rsidP="00000000" w:rsidRDefault="00000000" w:rsidRPr="00000000" w14:paraId="0000039D">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commissione giudicatrice procede relativamente a ciascun singolo lotto all’apertura e alla valutazione delle </w:t>
      </w:r>
      <w:r w:rsidDel="00000000" w:rsidR="00000000" w:rsidRPr="00000000">
        <w:rPr>
          <w:rFonts w:ascii="Titilium" w:cs="Titilium" w:eastAsia="Titilium" w:hAnsi="Titilium"/>
          <w:sz w:val="18"/>
          <w:szCs w:val="18"/>
          <w:rtl w:val="0"/>
        </w:rPr>
        <w:t xml:space="preserve">of</w:t>
      </w:r>
      <w:r w:rsidDel="00000000" w:rsidR="00000000" w:rsidRPr="00000000">
        <w:rPr>
          <w:rFonts w:ascii="Titillium" w:cs="Titillium" w:eastAsia="Titillium" w:hAnsi="Titillium"/>
          <w:sz w:val="18"/>
          <w:szCs w:val="18"/>
          <w:rtl w:val="0"/>
        </w:rPr>
        <w:t xml:space="preserve">ferte economiche, secondo i criteri e le modalità descritte nel disciplinare e, successivamente, all’individuazione dell’unico parametro numerico finale per la formulazione della graduatoria. </w:t>
      </w:r>
    </w:p>
    <w:p w:rsidR="00000000" w:rsidDel="00000000" w:rsidP="00000000" w:rsidRDefault="00000000" w:rsidRPr="00000000" w14:paraId="0000039E">
      <w:pPr>
        <w:spacing w:after="60" w:before="60" w:lineRule="auto"/>
        <w:rPr/>
      </w:pPr>
      <w:r w:rsidDel="00000000" w:rsidR="00000000" w:rsidRPr="00000000">
        <w:rPr>
          <w:rFonts w:ascii="Titillium" w:cs="Titillium" w:eastAsia="Titillium" w:hAnsi="Titillium"/>
          <w:sz w:val="18"/>
          <w:szCs w:val="18"/>
          <w:rtl w:val="0"/>
        </w:rPr>
        <w:t xml:space="preserve">Nel caso in cui le offerte di due o più concorrenti ottengano lo stesso punteggio complessivo, ma punteggi differenti per il prezzo e per tutti gli altri elementi di valutazione, è collocato primo in graduatoria il concorrente che ha ottenuto il miglior punteggio sull’</w:t>
      </w:r>
      <w:r w:rsidDel="00000000" w:rsidR="00000000" w:rsidRPr="00000000">
        <w:rPr>
          <w:rFonts w:ascii="Titillium" w:cs="Titillium" w:eastAsia="Titillium" w:hAnsi="Titillium"/>
          <w:i w:val="1"/>
          <w:sz w:val="18"/>
          <w:szCs w:val="18"/>
          <w:rtl w:val="0"/>
        </w:rPr>
        <w:t xml:space="preserve"> </w:t>
      </w:r>
      <w:r w:rsidDel="00000000" w:rsidR="00000000" w:rsidRPr="00000000">
        <w:rPr>
          <w:rFonts w:ascii="Titillium" w:cs="Titillium" w:eastAsia="Titillium" w:hAnsi="Titillium"/>
          <w:sz w:val="18"/>
          <w:szCs w:val="18"/>
          <w:rtl w:val="0"/>
        </w:rPr>
        <w:t xml:space="preserve">offerta tecnica.</w:t>
      </w:r>
      <w:r w:rsidDel="00000000" w:rsidR="00000000" w:rsidRPr="00000000">
        <w:rPr>
          <w:rtl w:val="0"/>
        </w:rPr>
      </w:r>
    </w:p>
    <w:p w:rsidR="00000000" w:rsidDel="00000000" w:rsidP="00000000" w:rsidRDefault="00000000" w:rsidRPr="00000000" w14:paraId="0000039F">
      <w:pPr>
        <w:spacing w:after="60" w:before="60" w:lineRule="auto"/>
        <w:rPr/>
      </w:pPr>
      <w:r w:rsidDel="00000000" w:rsidR="00000000" w:rsidRPr="00000000">
        <w:rPr>
          <w:rFonts w:ascii="Titillium" w:cs="Titillium" w:eastAsia="Titillium" w:hAnsi="Titillium"/>
          <w:sz w:val="18"/>
          <w:szCs w:val="18"/>
          <w:rtl w:val="0"/>
        </w:rPr>
        <w:t xml:space="preserve">Nel caso in cui le offerte di due o più concorrenti ottengano lo stesso punteggio complessivo e gli stessi punteggi parziali per il prezzo e per l’offerta tecnica, i predetti concorrenti, su richiesta della stazione appaltante, presentano un’offerta migliorativa sul prezzo entro tre giorni. La richiesta è effettuata secondo le modalità previste al punto 2.3. È collocato primo in graduatoria il concorrente che ha presentato la migliore offerta. Ove permanga l’ex aequo la commissione procede mediante sorteggio ad individuare il concorrente che verrà collocato primo nella graduatoria. La stazione appaltante comunica il giorno e l’ora del sorteggio. secondo le modalità previste punto 2.3.</w:t>
      </w:r>
      <w:r w:rsidDel="00000000" w:rsidR="00000000" w:rsidRPr="00000000">
        <w:rPr>
          <w:rtl w:val="0"/>
        </w:rPr>
      </w:r>
    </w:p>
    <w:p w:rsidR="00000000" w:rsidDel="00000000" w:rsidP="00000000" w:rsidRDefault="00000000" w:rsidRPr="00000000" w14:paraId="000003A0">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commissione giudicatrice rende visibile ai concorrenti, con le modalità di cui all’articolo 20 i prezzi offerti.</w:t>
      </w:r>
    </w:p>
    <w:p w:rsidR="00000000" w:rsidDel="00000000" w:rsidP="00000000" w:rsidRDefault="00000000" w:rsidRPr="00000000" w14:paraId="000003A1">
      <w:pPr>
        <w:spacing w:after="60" w:before="60" w:lineRule="auto"/>
        <w:rPr/>
      </w:pPr>
      <w:r w:rsidDel="00000000" w:rsidR="00000000" w:rsidRPr="00000000">
        <w:rPr>
          <w:rFonts w:ascii="Titillium" w:cs="Titillium" w:eastAsia="Titillium" w:hAnsi="Titillium"/>
          <w:sz w:val="18"/>
          <w:szCs w:val="18"/>
          <w:rtl w:val="0"/>
        </w:rPr>
        <w:t xml:space="preserve">All’esito delle operazioni di cui sopra, la commissione, redige la graduatoria.</w:t>
      </w:r>
      <w:r w:rsidDel="00000000" w:rsidR="00000000" w:rsidRPr="00000000">
        <w:rPr>
          <w:rtl w:val="0"/>
        </w:rPr>
      </w:r>
    </w:p>
    <w:p w:rsidR="00000000" w:rsidDel="00000000" w:rsidP="00000000" w:rsidRDefault="00000000" w:rsidRPr="00000000" w14:paraId="000003A2">
      <w:pPr>
        <w:spacing w:after="60" w:before="60" w:lineRule="auto"/>
        <w:rPr/>
      </w:pPr>
      <w:r w:rsidDel="00000000" w:rsidR="00000000" w:rsidRPr="00000000">
        <w:rPr>
          <w:rFonts w:ascii="Titillium" w:cs="Titillium" w:eastAsia="Titillium" w:hAnsi="Titillium"/>
          <w:sz w:val="18"/>
          <w:szCs w:val="18"/>
          <w:rtl w:val="0"/>
        </w:rPr>
        <w:t xml:space="preserve">L’offerta è esclusa in caso di:</w:t>
      </w:r>
      <w:r w:rsidDel="00000000" w:rsidR="00000000" w:rsidRPr="00000000">
        <w:rPr>
          <w:rtl w:val="0"/>
        </w:rPr>
      </w:r>
    </w:p>
    <w:p w:rsidR="00000000" w:rsidDel="00000000" w:rsidP="00000000" w:rsidRDefault="00000000" w:rsidRPr="00000000" w14:paraId="000003A3">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60" w:before="60" w:line="276" w:lineRule="auto"/>
        <w:ind w:left="426"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mancata separazione dell’offerta economica dall’offerta tecnica, ovvero inserimento di elementi concernenti il prezzo nella documentazione amministrativa o nell’offerta tecnica;</w:t>
      </w:r>
    </w:p>
    <w:p w:rsidR="00000000" w:rsidDel="00000000" w:rsidP="00000000" w:rsidRDefault="00000000" w:rsidRPr="00000000" w14:paraId="000003A4">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60" w:before="60" w:line="276" w:lineRule="auto"/>
        <w:ind w:left="426" w:right="0" w:hanging="360"/>
        <w:jc w:val="both"/>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presentazione di</w:t>
      </w:r>
      <w:r w:rsidDel="00000000" w:rsidR="00000000" w:rsidRPr="00000000">
        <w:rPr>
          <w:rFonts w:ascii="Titillium" w:cs="Titillium" w:eastAsia="Titillium" w:hAnsi="Titillium"/>
          <w:b w:val="1"/>
          <w:i w:val="0"/>
          <w:smallCaps w:val="0"/>
          <w:strike w:val="0"/>
          <w:color w:val="000000"/>
          <w:sz w:val="18"/>
          <w:szCs w:val="18"/>
          <w:u w:val="none"/>
          <w:shd w:fill="auto" w:val="clear"/>
          <w:vertAlign w:val="baseline"/>
          <w:rtl w:val="0"/>
        </w:rPr>
        <w:t xml:space="preserve"> </w:t>
      </w: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offerte parziali, plurime, condizionate, alternative oppure irregolari in quanto non rispettano i documenti di gara, ivi comprese le specifiche tecniche, o anormalmente basse;</w:t>
      </w:r>
      <w:r w:rsidDel="00000000" w:rsidR="00000000" w:rsidRPr="00000000">
        <w:rPr>
          <w:rtl w:val="0"/>
        </w:rPr>
      </w:r>
    </w:p>
    <w:p w:rsidR="00000000" w:rsidDel="00000000" w:rsidP="00000000" w:rsidRDefault="00000000" w:rsidRPr="00000000" w14:paraId="000003A5">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60" w:before="60" w:line="276" w:lineRule="auto"/>
        <w:ind w:left="426"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presentazione di offerte inammissibili in quanto la commissione giudicatrice ha ritenuto sussistenti gli estremi per l’informativa alla Procura della Repubblica per reati di corruzione o fenomeni collusivi o ha verificato essere in aumento rispetto all’importo a base di gara;</w:t>
      </w:r>
    </w:p>
    <w:p w:rsidR="00000000" w:rsidDel="00000000" w:rsidP="00000000" w:rsidRDefault="00000000" w:rsidRPr="00000000" w14:paraId="000003A6">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60" w:before="60" w:line="276" w:lineRule="auto"/>
        <w:ind w:left="426" w:right="0" w:hanging="360"/>
        <w:jc w:val="both"/>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mancato superamento della soglia di sbarramento per l’offerta tecnica. </w:t>
      </w:r>
      <w:r w:rsidDel="00000000" w:rsidR="00000000" w:rsidRPr="00000000">
        <w:rPr>
          <w:rtl w:val="0"/>
        </w:rPr>
      </w:r>
    </w:p>
    <w:p w:rsidR="00000000" w:rsidDel="00000000" w:rsidP="00000000" w:rsidRDefault="00000000" w:rsidRPr="00000000" w14:paraId="000003A7">
      <w:pPr>
        <w:pStyle w:val="Heading1"/>
        <w:rPr/>
      </w:pPr>
      <w:bookmarkStart w:colFirst="0" w:colLast="0" w:name="_2iq8gzs" w:id="51"/>
      <w:bookmarkEnd w:id="51"/>
      <w:r w:rsidDel="00000000" w:rsidR="00000000" w:rsidRPr="00000000">
        <w:rPr>
          <w:rtl w:val="0"/>
        </w:rPr>
        <w:t xml:space="preserve">23. </w:t>
      </w:r>
      <w:r w:rsidDel="00000000" w:rsidR="00000000" w:rsidRPr="00000000">
        <w:rPr>
          <w:rtl w:val="0"/>
        </w:rPr>
        <w:t xml:space="preserve">VERIFICA DI ANOMALIA DELLE OFFERTE</w:t>
      </w:r>
    </w:p>
    <w:p w:rsidR="00000000" w:rsidDel="00000000" w:rsidP="00000000" w:rsidRDefault="00000000" w:rsidRPr="00000000" w14:paraId="000003A8">
      <w:pPr>
        <w:spacing w:after="60" w:before="60" w:lineRule="auto"/>
        <w:rPr/>
      </w:pPr>
      <w:r w:rsidDel="00000000" w:rsidR="00000000" w:rsidRPr="00000000">
        <w:rPr>
          <w:rFonts w:ascii="Titillium" w:cs="Titillium" w:eastAsia="Titillium" w:hAnsi="Titillium"/>
          <w:sz w:val="18"/>
          <w:szCs w:val="18"/>
          <w:rtl w:val="0"/>
        </w:rPr>
        <w:t xml:space="preserve">Sono considerate anormalmente basse le offerte che non garantiscano serietà, sostenibilità e realizzazione delle migliorie offerte.Nel caso in cui i costi della manodopera dichiarati dall'operatore economico, ai sensi dell’art.108 comma 9, siano inferiori a quelli stimati dalla stazione appaltante, l’operatore economico è tenuto a darne spiegazione, compilando il modulo allegato 10. </w:t>
      </w:r>
      <w:r w:rsidDel="00000000" w:rsidR="00000000" w:rsidRPr="00000000">
        <w:rPr>
          <w:rtl w:val="0"/>
        </w:rPr>
      </w:r>
    </w:p>
    <w:p w:rsidR="00000000" w:rsidDel="00000000" w:rsidP="00000000" w:rsidRDefault="00000000" w:rsidRPr="00000000" w14:paraId="000003A9">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Nel caso in cui la prima migliore offerta appaia anormalmente bassa, il RUP, avvalendosi del supporto della commissione,  ne valuta la congruità, serietà, sostenibilità e realizzabilità.</w:t>
      </w:r>
    </w:p>
    <w:p w:rsidR="00000000" w:rsidDel="00000000" w:rsidP="00000000" w:rsidRDefault="00000000" w:rsidRPr="00000000" w14:paraId="000003AA">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Qualora tale offerta risulti anomala, si procede con le stesse modalità nei confronti delle successive offerte ritenute anormalmente basse, fino ad individuare la migliore offerta ritenuta non anomala. </w:t>
      </w:r>
    </w:p>
    <w:p w:rsidR="00000000" w:rsidDel="00000000" w:rsidP="00000000" w:rsidRDefault="00000000" w:rsidRPr="00000000" w14:paraId="000003A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0"/>
          <w:tab w:val="left" w:leader="none" w:pos="4340"/>
        </w:tabs>
        <w:spacing w:after="60" w:before="60" w:line="240" w:lineRule="auto"/>
        <w:ind w:left="0" w:right="0" w:firstLine="0"/>
        <w:jc w:val="both"/>
        <w:rPr>
          <w:rFonts w:ascii="Titillium" w:cs="Titillium" w:eastAsia="Titillium" w:hAnsi="Titillium"/>
          <w:b w:val="0"/>
          <w:i w:val="0"/>
          <w:smallCaps w:val="0"/>
          <w:strike w:val="0"/>
          <w:color w:val="000000"/>
          <w:sz w:val="20"/>
          <w:szCs w:val="20"/>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Il concorrente allega, in sede di presentazione dell’offerta economica, le giustificazioni relative alle voci di prezzo e di costo. La mancata presentazione anticipata delle giustificazioni non è causa di esclusione. </w:t>
      </w:r>
      <w:r w:rsidDel="00000000" w:rsidR="00000000" w:rsidRPr="00000000">
        <w:rPr>
          <w:rtl w:val="0"/>
        </w:rPr>
      </w:r>
    </w:p>
    <w:p w:rsidR="00000000" w:rsidDel="00000000" w:rsidP="00000000" w:rsidRDefault="00000000" w:rsidRPr="00000000" w14:paraId="000003AC">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Il RUP richiede al concorrente la presentazione delle spiegazioni, se del caso, indicando le componenti specifiche dell’offerta ritenute anomale.</w:t>
      </w:r>
    </w:p>
    <w:p w:rsidR="00000000" w:rsidDel="00000000" w:rsidP="00000000" w:rsidRDefault="00000000" w:rsidRPr="00000000" w14:paraId="000003AD">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A tal fine, assegna un termine non superiore a quindici giorni dal ricevimento della richiesta.</w:t>
      </w:r>
    </w:p>
    <w:p w:rsidR="00000000" w:rsidDel="00000000" w:rsidP="00000000" w:rsidRDefault="00000000" w:rsidRPr="00000000" w14:paraId="000003AE">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Il RUP, esaminate le spiegazioni fornite dall’offerente, ove le ritenga non sufficienti ad escludere l’anomalia, può chiedere, anche mediante audizione orale, ulteriori chiarimenti, assegnando un termine perentorio per il riscontro.</w:t>
      </w:r>
    </w:p>
    <w:p w:rsidR="00000000" w:rsidDel="00000000" w:rsidP="00000000" w:rsidRDefault="00000000" w:rsidRPr="00000000" w14:paraId="000003AF">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Il RUP esclude le offerte che, in base all’esame degli elementi forniti con le spiegazioni risultino, nel complesso, inaffidabili.</w:t>
      </w:r>
    </w:p>
    <w:p w:rsidR="00000000" w:rsidDel="00000000" w:rsidP="00000000" w:rsidRDefault="00000000" w:rsidRPr="00000000" w14:paraId="000003B0">
      <w:pPr>
        <w:pStyle w:val="Heading1"/>
        <w:rPr/>
      </w:pPr>
      <w:bookmarkStart w:colFirst="0" w:colLast="0" w:name="_3hv69ve" w:id="52"/>
      <w:bookmarkEnd w:id="52"/>
      <w:r w:rsidDel="00000000" w:rsidR="00000000" w:rsidRPr="00000000">
        <w:rPr>
          <w:rtl w:val="0"/>
        </w:rPr>
        <w:t xml:space="preserve">24. AGGIUDICAZIONE DELL’APPALTO E STIPULA DEL CONTRATTO</w:t>
      </w:r>
    </w:p>
    <w:p w:rsidR="00000000" w:rsidDel="00000000" w:rsidP="00000000" w:rsidRDefault="00000000" w:rsidRPr="00000000" w14:paraId="000003B1">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proposta di aggiudicazione è formulata in favore del concorrente che ha presentato la migliore offerta. </w:t>
      </w:r>
    </w:p>
    <w:p w:rsidR="00000000" w:rsidDel="00000000" w:rsidP="00000000" w:rsidRDefault="00000000" w:rsidRPr="00000000" w14:paraId="000003B2">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Qualora nessuna offerta risulti conveniente o idonea in relazione all’oggetto del contratto, la stazione appaltante può decidere, entro 30 giorni dalla conclusione delle valutazioni delle offerte, di non procedere all’aggiudicazione.</w:t>
      </w:r>
    </w:p>
    <w:p w:rsidR="00000000" w:rsidDel="00000000" w:rsidP="00000000" w:rsidRDefault="00000000" w:rsidRPr="00000000" w14:paraId="000003B3">
      <w:pPr>
        <w:spacing w:after="60" w:before="60" w:lineRule="auto"/>
        <w:rPr>
          <w:rFonts w:ascii="Titillium" w:cs="Titillium" w:eastAsia="Titillium" w:hAnsi="Titillium"/>
          <w:sz w:val="18"/>
          <w:szCs w:val="18"/>
        </w:rPr>
      </w:pPr>
      <w:bookmarkStart w:colFirst="0" w:colLast="0" w:name="_1x0gk37" w:id="53"/>
      <w:bookmarkEnd w:id="53"/>
      <w:r w:rsidDel="00000000" w:rsidR="00000000" w:rsidRPr="00000000">
        <w:rPr>
          <w:rFonts w:ascii="Titillium" w:cs="Titillium" w:eastAsia="Titillium" w:hAnsi="Titillium"/>
          <w:sz w:val="18"/>
          <w:szCs w:val="18"/>
          <w:rtl w:val="0"/>
        </w:rPr>
        <w:t xml:space="preserve">Il RUP procede, laddove non effettuata in sede di verifica di congruità dell’offerta, a verificare:</w:t>
      </w:r>
    </w:p>
    <w:p w:rsidR="00000000" w:rsidDel="00000000" w:rsidP="00000000" w:rsidRDefault="00000000" w:rsidRPr="00000000" w14:paraId="000003B4">
      <w:pPr>
        <w:keepNext w:val="0"/>
        <w:keepLines w:val="0"/>
        <w:pageBreakBefore w:val="0"/>
        <w:widowControl w:val="1"/>
        <w:numPr>
          <w:ilvl w:val="0"/>
          <w:numId w:val="30"/>
        </w:numPr>
        <w:pBdr>
          <w:top w:space="0" w:sz="0" w:val="nil"/>
          <w:left w:space="0" w:sz="0" w:val="nil"/>
          <w:bottom w:space="0" w:sz="0" w:val="nil"/>
          <w:right w:space="0" w:sz="0" w:val="nil"/>
          <w:between w:space="0" w:sz="0" w:val="nil"/>
        </w:pBdr>
        <w:shd w:fill="auto" w:val="clear"/>
        <w:spacing w:after="60" w:before="60" w:line="276" w:lineRule="auto"/>
        <w:ind w:left="720"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l’equivalenza delle tutele nel caso in cui l’aggiudicatario abbia dichiarato di applicare un diverso contratto collettivo nazionale diverso rispetto a quello indicato dalla stazione appaltante</w:t>
      </w:r>
      <w:r w:rsidDel="00000000" w:rsidR="00000000" w:rsidRPr="00000000">
        <w:rPr>
          <w:rFonts w:ascii="Titillium" w:cs="Titillium" w:eastAsia="Titillium" w:hAnsi="Titillium"/>
          <w:sz w:val="18"/>
          <w:szCs w:val="18"/>
          <w:rtl w:val="0"/>
        </w:rPr>
        <w:t xml:space="preserve">.</w:t>
      </w:r>
      <w:r w:rsidDel="00000000" w:rsidR="00000000" w:rsidRPr="00000000">
        <w:rPr>
          <w:rtl w:val="0"/>
        </w:rPr>
      </w:r>
    </w:p>
    <w:p w:rsidR="00000000" w:rsidDel="00000000" w:rsidP="00000000" w:rsidRDefault="00000000" w:rsidRPr="00000000" w14:paraId="000003B5">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L’aggiudicazione è disposta all’esito positivo della verifica del possesso dei requisiti prescritti dal presente disciplinare ed è immediatamente efficace. In caso di esito negativo delle verifiche, si procede all’esclusione, alla segnalazione all’ANAC, ad incamerare la garanzia provvisoria.</w:t>
      </w:r>
    </w:p>
    <w:p w:rsidR="00000000" w:rsidDel="00000000" w:rsidP="00000000" w:rsidRDefault="00000000" w:rsidRPr="00000000" w14:paraId="000003B6">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Successivamente si procede a ricalcolare i punteggi e a riformulare la graduatoria procedendo altresì, alle verifiche nei termini sopra indicati. Nell’ipotesi di ulteriore esito negativo delle verifiche si procede nei termini sopra detti, scorrendo la graduatoria.</w:t>
      </w:r>
    </w:p>
    <w:p w:rsidR="00000000" w:rsidDel="00000000" w:rsidP="00000000" w:rsidRDefault="00000000" w:rsidRPr="00000000" w14:paraId="000003B7">
      <w:pPr>
        <w:spacing w:after="60" w:before="60" w:lineRule="auto"/>
        <w:rPr/>
      </w:pPr>
      <w:r w:rsidDel="00000000" w:rsidR="00000000" w:rsidRPr="00000000">
        <w:rPr>
          <w:rFonts w:ascii="Titillium" w:cs="Titillium" w:eastAsia="Titillium" w:hAnsi="Titillium"/>
          <w:sz w:val="18"/>
          <w:szCs w:val="18"/>
          <w:rtl w:val="0"/>
        </w:rPr>
        <w:t xml:space="preserve">Il contratto è stipulato non prima di 35 giorni dall’invio dell’ultima delle comunicazioni del provvedimento di aggiudicazione e comunque entro 60 giorni </w:t>
      </w:r>
      <w:r w:rsidDel="00000000" w:rsidR="00000000" w:rsidRPr="00000000">
        <w:rPr>
          <w:rFonts w:ascii="Titillium" w:cs="Titillium" w:eastAsia="Titillium" w:hAnsi="Titillium"/>
          <w:sz w:val="18"/>
          <w:szCs w:val="18"/>
          <w:rtl w:val="0"/>
        </w:rPr>
        <w:t xml:space="preserve">dall’aggiudicazione, salvo quanto previsto dall’articolo 18 comma 2 del Codice. </w:t>
      </w:r>
      <w:r w:rsidDel="00000000" w:rsidR="00000000" w:rsidRPr="00000000">
        <w:rPr>
          <w:rtl w:val="0"/>
        </w:rPr>
      </w:r>
    </w:p>
    <w:p w:rsidR="00000000" w:rsidDel="00000000" w:rsidP="00000000" w:rsidRDefault="00000000" w:rsidRPr="00000000" w14:paraId="000003B8">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A seguito di richiesta motivata proveniente dall’aggiudicatario la data di stipula del contratto può essere differita purché ritenuta compatibile con la sollecita esecuzione del contratto stesso.</w:t>
      </w:r>
    </w:p>
    <w:p w:rsidR="00000000" w:rsidDel="00000000" w:rsidP="00000000" w:rsidRDefault="00000000" w:rsidRPr="00000000" w14:paraId="000003B9">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garanzia provvisoria dell’aggiudicatario è svincolata automaticamente al momento della stipula del contratto; la garanzia provvisoria degli altri concorrenti è svincolata con il provvedimento di aggiudicazione e perde, in ogni caso, efficacia entro 30 giorni dall’aggiudicazione.</w:t>
      </w:r>
    </w:p>
    <w:p w:rsidR="00000000" w:rsidDel="00000000" w:rsidP="00000000" w:rsidRDefault="00000000" w:rsidRPr="00000000" w14:paraId="000003BA">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All’atto della stipulazione del contratto, l’aggiudicatario deve presentare la garanzia definitiva da calcolare sull’importo contrattuale, secondo le misure e le modalità previste dall’articolo 117 del Codice.</w:t>
      </w:r>
    </w:p>
    <w:p w:rsidR="00000000" w:rsidDel="00000000" w:rsidP="00000000" w:rsidRDefault="00000000" w:rsidRPr="00000000" w14:paraId="000003BB">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Se la stipula del contratto non avviene nel termine per fatto della stazione appaltante, l’aggiudicatario può farne constatare il silenzio inadempimento o, in alternativa, può sciogliersi da ogni vincolo mediante atto notificato. All’aggiudicatario non spetta alcun indennizzo, salvo il rimborso delle spese contrattuali. </w:t>
      </w:r>
    </w:p>
    <w:p w:rsidR="00000000" w:rsidDel="00000000" w:rsidP="00000000" w:rsidRDefault="00000000" w:rsidRPr="00000000" w14:paraId="000003BC">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Se la stipula del contratto non avviene nel termine fissato per fatto dell’aggiudicatario può costituire motivo di revoca dell’aggiudicazione. </w:t>
      </w:r>
    </w:p>
    <w:p w:rsidR="00000000" w:rsidDel="00000000" w:rsidP="00000000" w:rsidRDefault="00000000" w:rsidRPr="00000000" w14:paraId="000003BD">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mancata o tardiva stipula del contratto al di fuori delle ipotesi predette, costituisce violazione del dovere di buona fede, anche in pendenza di contenzioso.</w:t>
        <w:br w:type="textWrapping"/>
        <w:t xml:space="preserve">L’aggiudicatario deposita, prima o contestualmente alla sottoscrizione del contratto di appalto, i contratti continuativi di cooperazione, servizio e/o fornitura di cui all’articolo 119, comma 3, lett. d) del Codice.</w:t>
      </w:r>
    </w:p>
    <w:p w:rsidR="00000000" w:rsidDel="00000000" w:rsidP="00000000" w:rsidRDefault="00000000" w:rsidRPr="00000000" w14:paraId="000003BE">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L’affidatario comunica, per ogni sub-contratto che non costituisce subappalto, l’importo e l’oggetto del medesimo, nonché il nome del sub-contraente, prima dell’inizio della prestazione.</w:t>
      </w:r>
    </w:p>
    <w:p w:rsidR="00000000" w:rsidDel="00000000" w:rsidP="00000000" w:rsidRDefault="00000000" w:rsidRPr="00000000" w14:paraId="000003BF">
      <w:pPr>
        <w:spacing w:after="60" w:before="60" w:lineRule="auto"/>
        <w:rPr>
          <w:rFonts w:ascii="Titillium" w:cs="Titillium" w:eastAsia="Titillium" w:hAnsi="Titillium"/>
          <w:i w:val="1"/>
          <w:sz w:val="18"/>
          <w:szCs w:val="18"/>
        </w:rPr>
      </w:pPr>
      <w:r w:rsidDel="00000000" w:rsidR="00000000" w:rsidRPr="00000000">
        <w:rPr>
          <w:rFonts w:ascii="Titillium" w:cs="Titillium" w:eastAsia="Titillium" w:hAnsi="Titillium"/>
          <w:sz w:val="18"/>
          <w:szCs w:val="18"/>
          <w:rtl w:val="0"/>
        </w:rPr>
        <w:t xml:space="preserve">Il contratto è stipulato mediante scrittura privata in modalità elettronica</w:t>
      </w:r>
      <w:r w:rsidDel="00000000" w:rsidR="00000000" w:rsidRPr="00000000">
        <w:rPr>
          <w:rFonts w:ascii="Titillium" w:cs="Titillium" w:eastAsia="Titillium" w:hAnsi="Titillium"/>
          <w:i w:val="1"/>
          <w:sz w:val="18"/>
          <w:szCs w:val="18"/>
          <w:rtl w:val="0"/>
        </w:rPr>
        <w:t xml:space="preserve">.</w:t>
      </w:r>
    </w:p>
    <w:p w:rsidR="00000000" w:rsidDel="00000000" w:rsidP="00000000" w:rsidRDefault="00000000" w:rsidRPr="00000000" w14:paraId="000003C0">
      <w:pPr>
        <w:widowControl w:val="0"/>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Sono a carico dell’aggiudicatario tutte le spese contrattuali, gli oneri fiscali quali imposte e tasse - ivi comprese quelle di registro ove dovute - relative alla stipulazione del contratto. </w:t>
      </w:r>
    </w:p>
    <w:p w:rsidR="00000000" w:rsidDel="00000000" w:rsidP="00000000" w:rsidRDefault="00000000" w:rsidRPr="00000000" w14:paraId="000003C1">
      <w:pPr>
        <w:spacing w:after="60" w:before="6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In caso di interpello a seguito di risoluzione/recesso del contratto in corso di esecuzione, il nuovo affidamento avviene alle condizioni proposte dall’operatore economico interpellato, ai sensi dell’art. 124 comma 2 del Codice.</w:t>
      </w:r>
    </w:p>
    <w:p w:rsidR="00000000" w:rsidDel="00000000" w:rsidP="00000000" w:rsidRDefault="00000000" w:rsidRPr="00000000" w14:paraId="000003C2">
      <w:pPr>
        <w:pStyle w:val="Heading1"/>
        <w:rPr/>
      </w:pPr>
      <w:bookmarkStart w:colFirst="0" w:colLast="0" w:name="_4h042r0" w:id="54"/>
      <w:bookmarkEnd w:id="54"/>
      <w:r w:rsidDel="00000000" w:rsidR="00000000" w:rsidRPr="00000000">
        <w:rPr>
          <w:rtl w:val="0"/>
        </w:rPr>
        <w:t xml:space="preserve">25. OBBLIGHI RELATIVI ALLA TRACCIABILITÀ DEI FLUSSI FINANZIARI </w:t>
      </w:r>
    </w:p>
    <w:p w:rsidR="00000000" w:rsidDel="00000000" w:rsidP="00000000" w:rsidRDefault="00000000" w:rsidRPr="00000000" w14:paraId="000003C3">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Il contratto d’appalto è soggetto agli obblighi in tema di tracciabilità dei flussi finanziari di cui alla legge 13 agosto 2010, n. 136.</w:t>
      </w:r>
    </w:p>
    <w:p w:rsidR="00000000" w:rsidDel="00000000" w:rsidP="00000000" w:rsidRDefault="00000000" w:rsidRPr="00000000" w14:paraId="000003C4">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L’affidatario deve comunicare alla stazione appaltante:</w:t>
      </w:r>
    </w:p>
    <w:p w:rsidR="00000000" w:rsidDel="00000000" w:rsidP="00000000" w:rsidRDefault="00000000" w:rsidRPr="00000000" w14:paraId="000003C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gli estremi identificativi dei conti correnti bancari o postali dedicati, con l'indicazione dell'opera/servizio/fornitura alla quale sono dedicati;</w:t>
      </w:r>
    </w:p>
    <w:p w:rsidR="00000000" w:rsidDel="00000000" w:rsidP="00000000" w:rsidRDefault="00000000" w:rsidRPr="00000000" w14:paraId="000003C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le generalità e il codice fiscale delle persone delegate ad operare sugli stessi;</w:t>
      </w:r>
    </w:p>
    <w:p w:rsidR="00000000" w:rsidDel="00000000" w:rsidP="00000000" w:rsidRDefault="00000000" w:rsidRPr="00000000" w14:paraId="000003C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Titillium" w:cs="Titillium" w:eastAsia="Titillium" w:hAnsi="Titillium"/>
          <w:b w:val="0"/>
          <w:i w:val="0"/>
          <w:smallCaps w:val="0"/>
          <w:strike w:val="0"/>
          <w:color w:val="000000"/>
          <w:sz w:val="18"/>
          <w:szCs w:val="18"/>
          <w:u w:val="none"/>
          <w:shd w:fill="auto" w:val="clear"/>
          <w:vertAlign w:val="baseline"/>
        </w:rPr>
      </w:pPr>
      <w:r w:rsidDel="00000000" w:rsidR="00000000" w:rsidRPr="00000000">
        <w:rPr>
          <w:rFonts w:ascii="Titillium" w:cs="Titillium" w:eastAsia="Titillium" w:hAnsi="Titillium"/>
          <w:b w:val="0"/>
          <w:i w:val="0"/>
          <w:smallCaps w:val="0"/>
          <w:strike w:val="0"/>
          <w:color w:val="000000"/>
          <w:sz w:val="18"/>
          <w:szCs w:val="18"/>
          <w:u w:val="none"/>
          <w:shd w:fill="auto" w:val="clear"/>
          <w:vertAlign w:val="baseline"/>
          <w:rtl w:val="0"/>
        </w:rPr>
        <w:t xml:space="preserve">ogni modifica relativa ai dati trasmessi. </w:t>
      </w:r>
    </w:p>
    <w:p w:rsidR="00000000" w:rsidDel="00000000" w:rsidP="00000000" w:rsidRDefault="00000000" w:rsidRPr="00000000" w14:paraId="000003C8">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 comunicazione deve essere effettuata entro sette giorni dall'accensione del conto corrente ovvero, nel caso di conti correnti già esistenti, dalla loro prima utilizzazione in operazioni finanziarie relative ad una commessa pubblica. In caso di persone giuridiche, la comunicazione de quo deve essere sottoscritta da un legale rappresentante ovvero da un soggetto munito di apposita procura. L'omessa, tardiva o incompleta comunicazione degli elementi informativi comporta, a carico del soggetto inadempiente, l'applicazione di una sanzione amministrativa pecuniaria da 500 a 3.000 euro. </w:t>
      </w:r>
    </w:p>
    <w:p w:rsidR="00000000" w:rsidDel="00000000" w:rsidP="00000000" w:rsidRDefault="00000000" w:rsidRPr="00000000" w14:paraId="000003C9">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Il mancato adempimento agli obblighi previsti per la tracciabilità dei flussi finanziari relativi all’appalto comporta la risoluzione di diritto del contratto. </w:t>
      </w:r>
    </w:p>
    <w:p w:rsidR="00000000" w:rsidDel="00000000" w:rsidP="00000000" w:rsidRDefault="00000000" w:rsidRPr="00000000" w14:paraId="000003CA">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In occasione di ogni pagamento all’appaltatore o di interventi di controllo ulteriori si procede alla verifica dell’assolvimento degli obblighi relativi alla tracciabilità dei flussi finanziari.</w:t>
      </w:r>
    </w:p>
    <w:p w:rsidR="00000000" w:rsidDel="00000000" w:rsidP="00000000" w:rsidRDefault="00000000" w:rsidRPr="00000000" w14:paraId="000003CB">
      <w:pPr>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Il contratto è sottoposto alla condizione risolutiva in tutti i casi in cui le transazioni siano state eseguite senza avvalersi di banche o di Società Poste Italiane S.p.a. o anche senza strumenti diversi dal bonifico bancario o postale che siano idonei a garantire la piena tracciabilità delle operazioni per il corrispettivo dovuto in dipendenza del presente contratto.</w:t>
      </w:r>
    </w:p>
    <w:p w:rsidR="00000000" w:rsidDel="00000000" w:rsidP="00000000" w:rsidRDefault="00000000" w:rsidRPr="00000000" w14:paraId="000003CC">
      <w:pPr>
        <w:pStyle w:val="Heading1"/>
        <w:rPr/>
      </w:pPr>
      <w:bookmarkStart w:colFirst="0" w:colLast="0" w:name="_2w5ecyt" w:id="55"/>
      <w:bookmarkEnd w:id="55"/>
      <w:r w:rsidDel="00000000" w:rsidR="00000000" w:rsidRPr="00000000">
        <w:rPr>
          <w:rtl w:val="0"/>
        </w:rPr>
        <w:t xml:space="preserve">26. CODICE DI COMPORTAMENTO  </w:t>
      </w:r>
    </w:p>
    <w:p w:rsidR="00000000" w:rsidDel="00000000" w:rsidP="00000000" w:rsidRDefault="00000000" w:rsidRPr="00000000" w14:paraId="000003CD">
      <w:pPr>
        <w:widowControl w:val="0"/>
        <w:spacing w:line="280" w:lineRule="auto"/>
        <w:rPr/>
      </w:pPr>
      <w:r w:rsidDel="00000000" w:rsidR="00000000" w:rsidRPr="00000000">
        <w:rPr>
          <w:rFonts w:ascii="Titillium" w:cs="Titillium" w:eastAsia="Titillium" w:hAnsi="Titillium"/>
          <w:sz w:val="18"/>
          <w:szCs w:val="18"/>
          <w:rtl w:val="0"/>
        </w:rPr>
        <w:t xml:space="preserve">Nello sv</w:t>
      </w:r>
      <w:r w:rsidDel="00000000" w:rsidR="00000000" w:rsidRPr="00000000">
        <w:rPr>
          <w:rFonts w:ascii="Arial" w:cs="Arial" w:eastAsia="Arial" w:hAnsi="Arial"/>
          <w:sz w:val="18"/>
          <w:szCs w:val="18"/>
          <w:rtl w:val="0"/>
        </w:rPr>
        <w:t xml:space="preserve">olgimento delle attività oggetto del contratto di appalto, l’aggiudicatario </w:t>
      </w:r>
      <w:r w:rsidDel="00000000" w:rsidR="00000000" w:rsidRPr="00000000">
        <w:rPr>
          <w:rFonts w:ascii="Arial" w:cs="Arial" w:eastAsia="Arial" w:hAnsi="Arial"/>
          <w:i w:val="1"/>
          <w:sz w:val="18"/>
          <w:szCs w:val="18"/>
          <w:rtl w:val="0"/>
        </w:rPr>
        <w:t xml:space="preserve"> </w:t>
      </w:r>
      <w:r w:rsidDel="00000000" w:rsidR="00000000" w:rsidRPr="00000000">
        <w:rPr>
          <w:rFonts w:ascii="Arial" w:cs="Arial" w:eastAsia="Arial" w:hAnsi="Arial"/>
          <w:sz w:val="18"/>
          <w:szCs w:val="18"/>
          <w:rtl w:val="0"/>
        </w:rPr>
        <w:t xml:space="preserve">di ciascun lotto</w:t>
      </w:r>
      <w:r w:rsidDel="00000000" w:rsidR="00000000" w:rsidRPr="00000000">
        <w:rPr>
          <w:rFonts w:ascii="Arial" w:cs="Arial" w:eastAsia="Arial" w:hAnsi="Arial"/>
          <w:i w:val="1"/>
          <w:sz w:val="18"/>
          <w:szCs w:val="18"/>
          <w:rtl w:val="0"/>
        </w:rPr>
        <w:t xml:space="preserve"> </w:t>
      </w:r>
      <w:r w:rsidDel="00000000" w:rsidR="00000000" w:rsidRPr="00000000">
        <w:rPr>
          <w:rFonts w:ascii="Arial" w:cs="Arial" w:eastAsia="Arial" w:hAnsi="Arial"/>
          <w:sz w:val="18"/>
          <w:szCs w:val="18"/>
          <w:rtl w:val="0"/>
        </w:rPr>
        <w:t xml:space="preserve"> deve uniformarsi ai principi e</w:t>
      </w:r>
      <w:r w:rsidDel="00000000" w:rsidR="00000000" w:rsidRPr="00000000">
        <w:rPr>
          <w:rFonts w:ascii="Titillium" w:cs="Titillium" w:eastAsia="Titillium" w:hAnsi="Titillium"/>
          <w:sz w:val="18"/>
          <w:szCs w:val="18"/>
          <w:rtl w:val="0"/>
        </w:rPr>
        <w:t xml:space="preserve">, per quanto compatibili,  ai doveri di condotta richiamati nel Decreto del Presidente della Repubblica 16 aprile 2013 n. 62  e nel codice di comportamento di questa stazione appaltante e nella sottosezione Rischi corruttivi e trasparenza del PIAO. </w:t>
      </w:r>
      <w:r w:rsidDel="00000000" w:rsidR="00000000" w:rsidRPr="00000000">
        <w:rPr>
          <w:rtl w:val="0"/>
        </w:rPr>
      </w:r>
    </w:p>
    <w:p w:rsidR="00000000" w:rsidDel="00000000" w:rsidP="00000000" w:rsidRDefault="00000000" w:rsidRPr="00000000" w14:paraId="000003CE">
      <w:pPr>
        <w:widowControl w:val="0"/>
        <w:spacing w:line="280" w:lineRule="auto"/>
        <w:rPr>
          <w:rFonts w:ascii="Titillium" w:cs="Titillium" w:eastAsia="Titillium" w:hAnsi="Titillium"/>
          <w:i w:val="1"/>
          <w:sz w:val="18"/>
          <w:szCs w:val="18"/>
        </w:rPr>
      </w:pPr>
      <w:r w:rsidDel="00000000" w:rsidR="00000000" w:rsidRPr="00000000">
        <w:rPr>
          <w:rFonts w:ascii="Titillium" w:cs="Titillium" w:eastAsia="Titillium" w:hAnsi="Titillium"/>
          <w:sz w:val="18"/>
          <w:szCs w:val="18"/>
          <w:rtl w:val="0"/>
        </w:rPr>
        <w:t xml:space="preserve">In seguito alla comunicazione di aggiudicazione e prima della stipula del contratto, l’aggiudicatario di ciascun lotto ha l’onere di prendere visione dei predetti documenti pubblicati sul sito della stazione appaltante</w:t>
      </w:r>
      <w:r w:rsidDel="00000000" w:rsidR="00000000" w:rsidRPr="00000000">
        <w:rPr>
          <w:rFonts w:ascii="Titillium" w:cs="Titillium" w:eastAsia="Titillium" w:hAnsi="Titillium"/>
          <w:i w:val="1"/>
          <w:sz w:val="18"/>
          <w:szCs w:val="18"/>
          <w:rtl w:val="0"/>
        </w:rPr>
        <w:t xml:space="preserve"> </w:t>
      </w:r>
      <w:hyperlink r:id="rId27">
        <w:r w:rsidDel="00000000" w:rsidR="00000000" w:rsidRPr="00000000">
          <w:rPr>
            <w:rFonts w:ascii="Titillium" w:cs="Titillium" w:eastAsia="Titillium" w:hAnsi="Titillium"/>
            <w:i w:val="1"/>
            <w:color w:val="1155cc"/>
            <w:sz w:val="18"/>
            <w:szCs w:val="18"/>
            <w:u w:val="single"/>
            <w:rtl w:val="0"/>
          </w:rPr>
          <w:t xml:space="preserve">https://apps.arpae.it/REST//media/652fb45c3eb15f7c189e2ff4</w:t>
        </w:r>
      </w:hyperlink>
      <w:r w:rsidDel="00000000" w:rsidR="00000000" w:rsidRPr="00000000">
        <w:rPr>
          <w:rtl w:val="0"/>
        </w:rPr>
      </w:r>
    </w:p>
    <w:p w:rsidR="00000000" w:rsidDel="00000000" w:rsidP="00000000" w:rsidRDefault="00000000" w:rsidRPr="00000000" w14:paraId="000003CF">
      <w:pPr>
        <w:widowControl w:val="0"/>
        <w:spacing w:line="280" w:lineRule="auto"/>
        <w:rPr>
          <w:rFonts w:ascii="Titillium" w:cs="Titillium" w:eastAsia="Titillium" w:hAnsi="Titillium"/>
          <w:i w:val="1"/>
          <w:sz w:val="18"/>
          <w:szCs w:val="18"/>
        </w:rPr>
      </w:pPr>
      <w:r w:rsidDel="00000000" w:rsidR="00000000" w:rsidRPr="00000000">
        <w:rPr>
          <w:rtl w:val="0"/>
        </w:rPr>
      </w:r>
    </w:p>
    <w:p w:rsidR="00000000" w:rsidDel="00000000" w:rsidP="00000000" w:rsidRDefault="00000000" w:rsidRPr="00000000" w14:paraId="000003D0">
      <w:pPr>
        <w:pStyle w:val="Heading1"/>
        <w:rPr/>
      </w:pPr>
      <w:bookmarkStart w:colFirst="0" w:colLast="0" w:name="_1baon6m" w:id="56"/>
      <w:bookmarkEnd w:id="56"/>
      <w:r w:rsidDel="00000000" w:rsidR="00000000" w:rsidRPr="00000000">
        <w:rPr>
          <w:rtl w:val="0"/>
        </w:rPr>
        <w:t xml:space="preserve">27. ACCESSO AGLI ATTI</w:t>
      </w:r>
    </w:p>
    <w:p w:rsidR="00000000" w:rsidDel="00000000" w:rsidP="00000000" w:rsidRDefault="00000000" w:rsidRPr="00000000" w14:paraId="000003D1">
      <w:pPr>
        <w:widowControl w:val="0"/>
        <w:spacing w:line="280" w:lineRule="auto"/>
        <w:rPr>
          <w:rFonts w:ascii="Titillium" w:cs="Titillium" w:eastAsia="Titillium" w:hAnsi="Titillium"/>
          <w:sz w:val="18"/>
          <w:szCs w:val="18"/>
        </w:rPr>
      </w:pPr>
      <w:r w:rsidDel="00000000" w:rsidR="00000000" w:rsidRPr="00000000">
        <w:rPr>
          <w:rFonts w:ascii="Titillium" w:cs="Titillium" w:eastAsia="Titillium" w:hAnsi="Titillium"/>
          <w:sz w:val="18"/>
          <w:szCs w:val="18"/>
          <w:rtl w:val="0"/>
        </w:rPr>
        <w:t xml:space="preserve">L’accesso agli atti della procedura è assicurato in modalità digitale mediante acquisizione diretta dei dati e delle informazioni inseriti nelle piattaforme di e-procurement, nel rispetto di quanto previsto dall’articolo 35 del Codice e dalle vigenti disposizioni in materia di diritto di accesso ai documenti amministrativi, secondo le modalità indicate all’articolo 36 del codice.</w:t>
      </w:r>
    </w:p>
    <w:p w:rsidR="00000000" w:rsidDel="00000000" w:rsidP="00000000" w:rsidRDefault="00000000" w:rsidRPr="00000000" w14:paraId="000003D2">
      <w:pPr>
        <w:pStyle w:val="Heading1"/>
        <w:rPr/>
      </w:pPr>
      <w:bookmarkStart w:colFirst="0" w:colLast="0" w:name="_3vac5uf" w:id="57"/>
      <w:bookmarkEnd w:id="57"/>
      <w:r w:rsidDel="00000000" w:rsidR="00000000" w:rsidRPr="00000000">
        <w:rPr>
          <w:rtl w:val="0"/>
        </w:rPr>
        <w:t xml:space="preserve">28. DEFINIZIONE DELLE CONTROVERSIE </w:t>
      </w:r>
    </w:p>
    <w:p w:rsidR="00000000" w:rsidDel="00000000" w:rsidP="00000000" w:rsidRDefault="00000000" w:rsidRPr="00000000" w14:paraId="000003D3">
      <w:pPr>
        <w:spacing w:after="60" w:before="60" w:lineRule="auto"/>
        <w:rPr/>
      </w:pPr>
      <w:r w:rsidDel="00000000" w:rsidR="00000000" w:rsidRPr="00000000">
        <w:rPr>
          <w:rFonts w:ascii="Titillium" w:cs="Titillium" w:eastAsia="Titillium" w:hAnsi="Titillium"/>
          <w:sz w:val="18"/>
          <w:szCs w:val="18"/>
          <w:rtl w:val="0"/>
        </w:rPr>
        <w:t xml:space="preserve">Per le controversie derivanti dalla presente procedura di gara è competente il Tribunale Amministrativo di Bologna</w:t>
      </w:r>
      <w:r w:rsidDel="00000000" w:rsidR="00000000" w:rsidRPr="00000000">
        <w:rPr>
          <w:rtl w:val="0"/>
        </w:rPr>
      </w:r>
    </w:p>
    <w:p w:rsidR="00000000" w:rsidDel="00000000" w:rsidP="00000000" w:rsidRDefault="00000000" w:rsidRPr="00000000" w14:paraId="000003D4">
      <w:pPr>
        <w:pStyle w:val="Heading1"/>
        <w:rPr/>
      </w:pPr>
      <w:bookmarkStart w:colFirst="0" w:colLast="0" w:name="_2afmg28" w:id="58"/>
      <w:bookmarkEnd w:id="58"/>
      <w:r w:rsidDel="00000000" w:rsidR="00000000" w:rsidRPr="00000000">
        <w:rPr>
          <w:rtl w:val="0"/>
        </w:rPr>
        <w:t xml:space="preserve">29. TRATTAMENTO DEI DATI PERSONALI</w:t>
      </w:r>
    </w:p>
    <w:p w:rsidR="00000000" w:rsidDel="00000000" w:rsidP="00000000" w:rsidRDefault="00000000" w:rsidRPr="00000000" w14:paraId="000003D5">
      <w:pPr>
        <w:spacing w:after="60" w:before="60" w:lineRule="auto"/>
        <w:rPr>
          <w:rFonts w:ascii="Arial" w:cs="Arial" w:eastAsia="Arial" w:hAnsi="Arial"/>
          <w:b w:val="1"/>
          <w:sz w:val="18"/>
          <w:szCs w:val="18"/>
        </w:rPr>
      </w:pPr>
      <w:r w:rsidDel="00000000" w:rsidR="00000000" w:rsidRPr="00000000">
        <w:rPr>
          <w:rFonts w:ascii="Titillium" w:cs="Titillium" w:eastAsia="Titillium" w:hAnsi="Titillium"/>
          <w:sz w:val="18"/>
          <w:szCs w:val="18"/>
          <w:rtl w:val="0"/>
        </w:rPr>
        <w:t xml:space="preserve">I dati raccolti sono trattati e conservati ai sensi del Regolamento UE n. 2016/679 relativo alla protezione delle persone fisiche con riguardo al trattamento dei dati personali, nonché alla libera circolazione di tali dati, del decreto legislativo 30 giugno 2003, n.196 recante il “Codice in materia di protezione dei dati personali” e ss mm e ii , del decreto della Presidenza del Consiglio dei Ministri n. 148/21 e dei relativi atti di attuazione.</w:t>
        <w:br w:type="textWrapping"/>
      </w:r>
      <w:r w:rsidDel="00000000" w:rsidR="00000000" w:rsidRPr="00000000">
        <w:rPr>
          <w:rFonts w:ascii="Arial" w:cs="Arial" w:eastAsia="Arial" w:hAnsi="Arial"/>
          <w:b w:val="1"/>
          <w:sz w:val="18"/>
          <w:szCs w:val="18"/>
          <w:rtl w:val="0"/>
        </w:rPr>
        <w:t xml:space="preserve">Finalità del trattamento</w:t>
      </w:r>
    </w:p>
    <w:p w:rsidR="00000000" w:rsidDel="00000000" w:rsidP="00000000" w:rsidRDefault="00000000" w:rsidRPr="00000000" w14:paraId="000003D6">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In relazione alle attività di rispettiva competenza svolte dalla Committente, si</w:t>
      </w:r>
    </w:p>
    <w:p w:rsidR="00000000" w:rsidDel="00000000" w:rsidP="00000000" w:rsidRDefault="00000000" w:rsidRPr="00000000" w14:paraId="000003D7">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segnala che:</w:t>
      </w:r>
    </w:p>
    <w:p w:rsidR="00000000" w:rsidDel="00000000" w:rsidP="00000000" w:rsidRDefault="00000000" w:rsidRPr="00000000" w14:paraId="000003D8">
      <w:pPr>
        <w:widowControl w:val="0"/>
        <w:numPr>
          <w:ilvl w:val="0"/>
          <w:numId w:val="33"/>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i dati forniti dall’operatore vengono acquisiti per verificare la sussistenza dei requisiti necessari per la partecipazione alla procedura e, in particolare, delle capacità amministrative e tecnico-economiche del soggetto, richiesti per legge ai fini della partecipazione alla procedura, nonché per l’aggiudicazione, in adempimento di precisi obblighi di legge derivanti dalla normativa in materia di appalti e contrattualistica pubblica;</w:t>
      </w:r>
    </w:p>
    <w:p w:rsidR="00000000" w:rsidDel="00000000" w:rsidP="00000000" w:rsidRDefault="00000000" w:rsidRPr="00000000" w14:paraId="000003D9">
      <w:pPr>
        <w:widowControl w:val="0"/>
        <w:numPr>
          <w:ilvl w:val="0"/>
          <w:numId w:val="33"/>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 i dati forniti dall’operatore vengono acquisiti dalla Committente ai fini della redazione e della stipula del Contratto, per l’adempimento degli obblighi legali ad esso connessi, oltre che per la gestione ed esecuzione economica ed amministrativa del contratto stesso.</w:t>
      </w:r>
    </w:p>
    <w:p w:rsidR="00000000" w:rsidDel="00000000" w:rsidP="00000000" w:rsidRDefault="00000000" w:rsidRPr="00000000" w14:paraId="000003DA">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Tutti i dati acquisiti dalla Committente potranno essere trattati anche per fini di studio e statistici.</w:t>
      </w:r>
    </w:p>
    <w:p w:rsidR="00000000" w:rsidDel="00000000" w:rsidP="00000000" w:rsidRDefault="00000000" w:rsidRPr="00000000" w14:paraId="000003DB">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Natura del conferimento</w:t>
      </w:r>
    </w:p>
    <w:p w:rsidR="00000000" w:rsidDel="00000000" w:rsidP="00000000" w:rsidRDefault="00000000" w:rsidRPr="00000000" w14:paraId="000003DC">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L’operatore è tenuto a fornire i dati, in ragione degli obblighi legali derivanti dalla normativa in materia di appalti e contrattualistica pubblica. Il rifiuto di fornire i dati richiesti  potrebbe determinare, a seconda dei casi, l’impossibilità di ammettere l’operatore alla presente iniziativa o la sua esclusione dalla stessa ovvero la decadenza dall'aggiudicazione, nonché l’impossibilità di stipulare il contratto. </w:t>
      </w:r>
    </w:p>
    <w:p w:rsidR="00000000" w:rsidDel="00000000" w:rsidP="00000000" w:rsidRDefault="00000000" w:rsidRPr="00000000" w14:paraId="000003DD">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Dati sensibili e giudiziari</w:t>
      </w:r>
    </w:p>
    <w:p w:rsidR="00000000" w:rsidDel="00000000" w:rsidP="00000000" w:rsidRDefault="00000000" w:rsidRPr="00000000" w14:paraId="000003DE">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Di norma i dati forniti dall’operatore non rientrano nelle “categorie particolari di dati personali” di cui all’art. 9 Regolamento UE (cd. “dati sensibili”). Il trattamento dei “dati personali relativi a condanne penali e reati” di cui all’art. 10 Regolamento UE (cd. “dati giudiziari”), invece, è limitato al solo scopo di valutare il possesso dei requisiti e delle qualità previsti dalla vigente normativa applicabile ai fini della partecipazione alla procedura e dell’aggiudicazione.</w:t>
      </w:r>
    </w:p>
    <w:p w:rsidR="00000000" w:rsidDel="00000000" w:rsidP="00000000" w:rsidRDefault="00000000" w:rsidRPr="00000000" w14:paraId="000003DF">
      <w:pPr>
        <w:widowControl w:val="0"/>
        <w:jc w:val="left"/>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Modalità del trattamento dei dati</w:t>
      </w:r>
    </w:p>
    <w:p w:rsidR="00000000" w:rsidDel="00000000" w:rsidP="00000000" w:rsidRDefault="00000000" w:rsidRPr="00000000" w14:paraId="000003E0">
      <w:pPr>
        <w:widowControl w:val="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Il trattamento dei dati verrà effettuato dalla Committente in modo da garantirne la sicurezza e la riservatezza necessarie e potrà essere attuato mediante strumenti manuali, informatici e telematici idonei a trattare i dati nel rispetto delle misure di sicurezza previste dal Codice privacy e richieste dal Regolamento UE.</w:t>
      </w:r>
    </w:p>
    <w:p w:rsidR="00000000" w:rsidDel="00000000" w:rsidP="00000000" w:rsidRDefault="00000000" w:rsidRPr="00000000" w14:paraId="000003E1">
      <w:pPr>
        <w:widowControl w:val="0"/>
        <w:jc w:val="left"/>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Ambito di comunicazione e di diffusione dei dati</w:t>
      </w:r>
    </w:p>
    <w:p w:rsidR="00000000" w:rsidDel="00000000" w:rsidP="00000000" w:rsidRDefault="00000000" w:rsidRPr="00000000" w14:paraId="000003E2">
      <w:pPr>
        <w:widowControl w:val="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I dati potranno essere:</w:t>
      </w:r>
    </w:p>
    <w:p w:rsidR="00000000" w:rsidDel="00000000" w:rsidP="00000000" w:rsidRDefault="00000000" w:rsidRPr="00000000" w14:paraId="000003E3">
      <w:pPr>
        <w:widowControl w:val="0"/>
        <w:numPr>
          <w:ilvl w:val="0"/>
          <w:numId w:val="36"/>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trattati dal personale che cura la presente procedura o da quello in forza ad altri uffici della società che svolgono attività ad esso attinente o attività per fini di studio e statistici;</w:t>
      </w:r>
    </w:p>
    <w:p w:rsidR="00000000" w:rsidDel="00000000" w:rsidP="00000000" w:rsidRDefault="00000000" w:rsidRPr="00000000" w14:paraId="000003E4">
      <w:pPr>
        <w:widowControl w:val="0"/>
        <w:numPr>
          <w:ilvl w:val="0"/>
          <w:numId w:val="36"/>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comunicati a collaboratori autonomi, professionisti, consulenti, che prestino attività di consulenza od assistenza in ordine alla presente procedura, anche per l’eventuale tutela in giudizio o per studi di settore o fini statistici;</w:t>
      </w:r>
    </w:p>
    <w:p w:rsidR="00000000" w:rsidDel="00000000" w:rsidP="00000000" w:rsidRDefault="00000000" w:rsidRPr="00000000" w14:paraId="000003E5">
      <w:pPr>
        <w:widowControl w:val="0"/>
        <w:numPr>
          <w:ilvl w:val="0"/>
          <w:numId w:val="36"/>
        </w:numPr>
        <w:ind w:left="720" w:hanging="36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comunicati ad altri operatori che facciano richiesta di accesso ai documenti della procedura nei limiti consentiti ai sensi della legge 7 agosto 1990, n. 241;</w:t>
      </w:r>
    </w:p>
    <w:p w:rsidR="00000000" w:rsidDel="00000000" w:rsidP="00000000" w:rsidRDefault="00000000" w:rsidRPr="00000000" w14:paraId="000003E6">
      <w:pPr>
        <w:widowControl w:val="0"/>
        <w:numPr>
          <w:ilvl w:val="0"/>
          <w:numId w:val="36"/>
        </w:numPr>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comunicati all’Autorità Nazionale Anticorruzione, in osservanza a quanto previsto dalla Determinazione AVCP n. 1 del 10/01/2008.</w:t>
      </w:r>
    </w:p>
    <w:p w:rsidR="00000000" w:rsidDel="00000000" w:rsidP="00000000" w:rsidRDefault="00000000" w:rsidRPr="00000000" w14:paraId="000003E7">
      <w:pPr>
        <w:widowControl w:val="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Il nominativo dell’operatore e il prezzo dell’appalto, potranno essere diffusi tramite il sito internet </w:t>
      </w:r>
      <w:hyperlink r:id="rId28">
        <w:r w:rsidDel="00000000" w:rsidR="00000000" w:rsidRPr="00000000">
          <w:rPr>
            <w:rFonts w:ascii="Arial" w:cs="Arial" w:eastAsia="Arial" w:hAnsi="Arial"/>
            <w:color w:val="1155cc"/>
            <w:sz w:val="18"/>
            <w:szCs w:val="18"/>
            <w:u w:val="single"/>
            <w:rtl w:val="0"/>
          </w:rPr>
          <w:t xml:space="preserve">www.arpae.it</w:t>
        </w:r>
      </w:hyperlink>
      <w:r w:rsidDel="00000000" w:rsidR="00000000" w:rsidRPr="00000000">
        <w:rPr>
          <w:rtl w:val="0"/>
        </w:rPr>
      </w:r>
    </w:p>
    <w:p w:rsidR="00000000" w:rsidDel="00000000" w:rsidP="00000000" w:rsidRDefault="00000000" w:rsidRPr="00000000" w14:paraId="000003E8">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Oltre a quanto sopra, in adempimento agli obblighi di legge che impongono la trasparenza amministrativa (art. 1, comma 16, lett. b, e comma 32 L. 190/2012; art. 35 D. Lgs. n. 33/2012; nonché art. 29 D. Lgs. n. 50/2016), l’operatore prende atto ed acconsente a che i dati e la documentazione che la legge impone di pubblicare, siano pubblicati e diffusi, ricorrendone le condizioni, tramite il sito internet www.arpae..it, sezione “amministrazione trasparente”.</w:t>
      </w:r>
    </w:p>
    <w:p w:rsidR="00000000" w:rsidDel="00000000" w:rsidP="00000000" w:rsidRDefault="00000000" w:rsidRPr="00000000" w14:paraId="000003E9">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I dati potrebbero essere trasferiti ad un’organizzazione internazionale, in adempimento di obblighi di legge.</w:t>
      </w:r>
    </w:p>
    <w:p w:rsidR="00000000" w:rsidDel="00000000" w:rsidP="00000000" w:rsidRDefault="00000000" w:rsidRPr="00000000" w14:paraId="000003EA">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Periodo di conservazione dei dati</w:t>
      </w:r>
    </w:p>
    <w:p w:rsidR="00000000" w:rsidDel="00000000" w:rsidP="00000000" w:rsidRDefault="00000000" w:rsidRPr="00000000" w14:paraId="000003EB">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Il periodo di conservazione dei dati è di 10 anni dall’aggiudicazione definitiva per la stazione appaltante e dalla conclusione dell’esecuzione del contratto per la Committente. Inoltre, i dati potranno essere conservati, anche in forma aggregata, per fini di studio o statistici nel rispetto degli artt. 89 del Regolamento UE e 110 bis del Codice Privacy.</w:t>
      </w:r>
    </w:p>
    <w:p w:rsidR="00000000" w:rsidDel="00000000" w:rsidP="00000000" w:rsidRDefault="00000000" w:rsidRPr="00000000" w14:paraId="000003EC">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Diritti dell’interessato</w:t>
      </w:r>
    </w:p>
    <w:p w:rsidR="00000000" w:rsidDel="00000000" w:rsidP="00000000" w:rsidRDefault="00000000" w:rsidRPr="00000000" w14:paraId="000003ED">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Per “interessato” si intende qualsiasi persona fisica i cui dati sono trasferiti dall’operatore alla stazione appaltante.</w:t>
      </w:r>
    </w:p>
    <w:p w:rsidR="00000000" w:rsidDel="00000000" w:rsidP="00000000" w:rsidRDefault="00000000" w:rsidRPr="00000000" w14:paraId="000003EE">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All'interessato vengono riconosciuti i diritti di cui  agli artt. da 15 a 23 del Regolamento UE. In particolare, l’interessato ha: i) il diritto di ottenere, in qualunque momento la conferma che sia o meno in corso un trattamento di dati personali che lo riguardano; ii) il diritto di accesso ai propri dati personali per conoscere: la finalità del trattamento, la categoria di dati trattati, i destinatari o le categorie di destinatari cui i dati sono o saranno comunicati, il periodo di conservazione degli stessi o i criteri utilizzati per determinare tale periodo; iii) il diritto di chiedere, e nel caso ottenere, la rettifica e, ove possibile, la cancellazione o, ancora, la limitazione del trattamento e, infine, può opporsi, per motivi legittimi, al loro trattamento; iv) il diritto alla portabilità dei dati che sarà applicabile nei limiti di cui all’art. 20 del regolamento UE.</w:t>
      </w:r>
    </w:p>
    <w:p w:rsidR="00000000" w:rsidDel="00000000" w:rsidP="00000000" w:rsidRDefault="00000000" w:rsidRPr="00000000" w14:paraId="000003EF">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In generale, non è applicabile la portabilità dei dati di cui all’art. 20 del Regolamento UE.</w:t>
      </w:r>
    </w:p>
    <w:p w:rsidR="00000000" w:rsidDel="00000000" w:rsidP="00000000" w:rsidRDefault="00000000" w:rsidRPr="00000000" w14:paraId="000003F0">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Se in caso di esercizio del diritto di accesso e dei diritti connessi previsti dagli artt. da 15 a 23 del Regolamento UE, la risposta all'istanza non perviene nei tempi indicati o non è soddisfacente, l'interessato potrà far valere i propri diritti innanzi all'autorità giudiziaria o rivolgendosi al Garante per la protezione dei dati personali mediante apposito reclamo.</w:t>
      </w:r>
    </w:p>
    <w:p w:rsidR="00000000" w:rsidDel="00000000" w:rsidP="00000000" w:rsidRDefault="00000000" w:rsidRPr="00000000" w14:paraId="000003F1">
      <w:pPr>
        <w:widowControl w:val="0"/>
        <w:jc w:val="left"/>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Titolare del trattamento e Responsabile della Protezione dei dati</w:t>
      </w:r>
    </w:p>
    <w:p w:rsidR="00000000" w:rsidDel="00000000" w:rsidP="00000000" w:rsidRDefault="00000000" w:rsidRPr="00000000" w14:paraId="000003F2">
      <w:pPr>
        <w:widowControl w:val="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Titolare del trattamento è Arpae con sede legale in Via Po, 5 a Bologna.</w:t>
      </w:r>
    </w:p>
    <w:p w:rsidR="00000000" w:rsidDel="00000000" w:rsidP="00000000" w:rsidRDefault="00000000" w:rsidRPr="00000000" w14:paraId="000003F3">
      <w:pPr>
        <w:widowControl w:val="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Per l’esercizio dei diritti di cui agli artt. da 15 a 23 del Regolamento UE e per qualsiasi richiesta in merito al trattamento dei dati personali conferiti , Arpae  potrà essere contattata ai seguenti indirizzi:</w:t>
      </w:r>
    </w:p>
    <w:p w:rsidR="00000000" w:rsidDel="00000000" w:rsidP="00000000" w:rsidRDefault="00000000" w:rsidRPr="00000000" w14:paraId="000003F4">
      <w:pPr>
        <w:widowControl w:val="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Responsabile della protezione dei dati: </w:t>
      </w:r>
      <w:hyperlink r:id="rId29">
        <w:r w:rsidDel="00000000" w:rsidR="00000000" w:rsidRPr="00000000">
          <w:rPr>
            <w:rFonts w:ascii="Arial" w:cs="Arial" w:eastAsia="Arial" w:hAnsi="Arial"/>
            <w:color w:val="1155cc"/>
            <w:sz w:val="18"/>
            <w:szCs w:val="18"/>
            <w:u w:val="single"/>
            <w:rtl w:val="0"/>
          </w:rPr>
          <w:t xml:space="preserve">dpo@arpae.it</w:t>
        </w:r>
      </w:hyperlink>
      <w:r w:rsidDel="00000000" w:rsidR="00000000" w:rsidRPr="00000000">
        <w:rPr>
          <w:rtl w:val="0"/>
        </w:rPr>
      </w:r>
    </w:p>
    <w:p w:rsidR="00000000" w:rsidDel="00000000" w:rsidP="00000000" w:rsidRDefault="00000000" w:rsidRPr="00000000" w14:paraId="000003F5">
      <w:pPr>
        <w:widowControl w:val="0"/>
        <w:jc w:val="left"/>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Consenso al trattamento dei dati personali</w:t>
      </w:r>
    </w:p>
    <w:p w:rsidR="00000000" w:rsidDel="00000000" w:rsidP="00000000" w:rsidRDefault="00000000" w:rsidRPr="00000000" w14:paraId="000003F6">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Acquisite le sopra riportate informazioni, con la presentazione dell’offerta e/o la sottoscrizione del Contratto, il legale rappresentante pro tempore dell’operatore prende atto ed acconsente espressamente al trattamento come sopra definito dei dati personali, anche giudiziari, che lo riguardano come sopra definito.</w:t>
      </w:r>
    </w:p>
    <w:p w:rsidR="00000000" w:rsidDel="00000000" w:rsidP="00000000" w:rsidRDefault="00000000" w:rsidRPr="00000000" w14:paraId="000003F7">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L’operatore si impegna ad adempiere agli obblighi di informativa e di consenso, ove necessario, nei confronti delle persone fisiche (Interessati) di cui sono forniti dati personali nell’ambito della procedura di affidamento, per quanto concerne il trattamento dei loro Dati personali, anche giudiziari,da parte di Arpae per le finalità sopra descritte.</w:t>
      </w:r>
    </w:p>
    <w:p w:rsidR="00000000" w:rsidDel="00000000" w:rsidP="00000000" w:rsidRDefault="00000000" w:rsidRPr="00000000" w14:paraId="000003F8">
      <w:pPr>
        <w:widowControl w:val="0"/>
        <w:rPr>
          <w:rFonts w:ascii="Arial" w:cs="Arial" w:eastAsia="Arial" w:hAnsi="Arial"/>
          <w:sz w:val="18"/>
          <w:szCs w:val="18"/>
        </w:rPr>
      </w:pPr>
      <w:r w:rsidDel="00000000" w:rsidR="00000000" w:rsidRPr="00000000">
        <w:rPr>
          <w:rtl w:val="0"/>
        </w:rPr>
      </w:r>
    </w:p>
    <w:p w:rsidR="00000000" w:rsidDel="00000000" w:rsidP="00000000" w:rsidRDefault="00000000" w:rsidRPr="00000000" w14:paraId="000003F9">
      <w:pPr>
        <w:keepNext w:val="1"/>
        <w:tabs>
          <w:tab w:val="left" w:leader="none" w:pos="8460"/>
        </w:tabs>
        <w:spacing w:line="240" w:lineRule="auto"/>
        <w:ind w:right="-142"/>
        <w:rPr>
          <w:rFonts w:ascii="Arial" w:cs="Arial" w:eastAsia="Arial" w:hAnsi="Arial"/>
          <w:sz w:val="18"/>
          <w:szCs w:val="18"/>
        </w:rPr>
      </w:pPr>
      <w:r w:rsidDel="00000000" w:rsidR="00000000" w:rsidRPr="00000000">
        <w:rPr>
          <w:rFonts w:ascii="Arial" w:cs="Arial" w:eastAsia="Arial" w:hAnsi="Arial"/>
          <w:sz w:val="18"/>
          <w:szCs w:val="18"/>
          <w:rtl w:val="0"/>
        </w:rPr>
        <w:t xml:space="preserve">La Responsabile del Servizio Acquisti e Patrimonio       </w:t>
        <w:br w:type="textWrapping"/>
        <w:t xml:space="preserve">          (dott.ssa Elena Bortolotti)</w:t>
      </w:r>
    </w:p>
    <w:p w:rsidR="00000000" w:rsidDel="00000000" w:rsidP="00000000" w:rsidRDefault="00000000" w:rsidRPr="00000000" w14:paraId="000003FA">
      <w:pPr>
        <w:widowControl w:val="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3FB">
      <w:pPr>
        <w:widowControl w:val="0"/>
        <w:jc w:val="left"/>
        <w:rPr>
          <w:rFonts w:ascii="Titillium" w:cs="Titillium" w:eastAsia="Titillium" w:hAnsi="Titillium"/>
          <w:sz w:val="18"/>
          <w:szCs w:val="18"/>
        </w:rPr>
      </w:pPr>
      <w:r w:rsidDel="00000000" w:rsidR="00000000" w:rsidRPr="00000000">
        <w:rPr>
          <w:rFonts w:ascii="Arial" w:cs="Arial" w:eastAsia="Arial" w:hAnsi="Arial"/>
          <w:sz w:val="16"/>
          <w:szCs w:val="16"/>
          <w:rtl w:val="0"/>
        </w:rPr>
        <w:t xml:space="preserve">Documento firmato digitalmente secondo la normativa vigente</w:t>
      </w:r>
      <w:r w:rsidDel="00000000" w:rsidR="00000000" w:rsidRPr="00000000">
        <w:rPr>
          <w:rFonts w:ascii="Arial" w:cs="Arial" w:eastAsia="Arial" w:hAnsi="Arial"/>
          <w:sz w:val="22"/>
          <w:szCs w:val="22"/>
          <w:rtl w:val="0"/>
        </w:rPr>
        <w:t xml:space="preserve"> </w:t>
      </w:r>
      <w:r w:rsidDel="00000000" w:rsidR="00000000" w:rsidRPr="00000000">
        <w:rPr>
          <w:rtl w:val="0"/>
        </w:rPr>
      </w:r>
    </w:p>
    <w:p w:rsidR="00000000" w:rsidDel="00000000" w:rsidP="00000000" w:rsidRDefault="00000000" w:rsidRPr="00000000" w14:paraId="000003FC">
      <w:pPr>
        <w:spacing w:after="60" w:before="60" w:lineRule="auto"/>
        <w:rPr>
          <w:rFonts w:ascii="Titillium" w:cs="Titillium" w:eastAsia="Titillium" w:hAnsi="Titillium"/>
          <w:sz w:val="18"/>
          <w:szCs w:val="18"/>
        </w:rPr>
      </w:pPr>
      <w:r w:rsidDel="00000000" w:rsidR="00000000" w:rsidRPr="00000000">
        <w:rPr>
          <w:rtl w:val="0"/>
        </w:rPr>
      </w:r>
    </w:p>
    <w:sectPr>
      <w:headerReference r:id="rId30" w:type="default"/>
      <w:footerReference r:id="rId31" w:type="default"/>
      <w:pgSz w:h="16838" w:w="11906" w:orient="portrait"/>
      <w:pgMar w:bottom="680" w:top="1418" w:left="1548" w:right="1134" w:header="851" w:footer="454"/>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mbria"/>
  <w:font w:name="Arial"/>
  <w:font w:name="Calibri"/>
  <w:font w:name="Times New Roman"/>
  <w:font w:name="Courier New"/>
  <w:font w:name="Titilium"/>
  <w:font w:name="Garamon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itillium"/>
  <w:font w:name="Arial Narrow">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Book Antiqua">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Noto Sans Symbols">
    <w:embedRegular w:fontKey="{00000000-0000-0000-0000-000000000000}" r:id="rId13" w:subsetted="0"/>
    <w:embedBold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0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100" w:before="280" w:line="240" w:lineRule="auto"/>
      <w:ind w:left="0" w:right="0" w:firstLine="0"/>
      <w:jc w:val="left"/>
      <w:rPr>
        <w:rFonts w:ascii="Garamond" w:cs="Garamond" w:eastAsia="Garamond" w:hAnsi="Garamond"/>
        <w:b w:val="0"/>
        <w:i w:val="0"/>
        <w:smallCaps w:val="0"/>
        <w:strike w:val="0"/>
        <w:color w:val="000000"/>
        <w:sz w:val="20"/>
        <w:szCs w:val="20"/>
        <w:u w:val="none"/>
        <w:shd w:fill="auto" w:val="clear"/>
        <w:vertAlign w:val="baseline"/>
      </w:rPr>
    </w:pPr>
    <w:r w:rsidDel="00000000" w:rsidR="00000000" w:rsidRPr="00000000">
      <w:rPr>
        <w:rFonts w:ascii="Titillium" w:cs="Titillium" w:eastAsia="Titillium" w:hAnsi="Titillium"/>
        <w:sz w:val="16"/>
        <w:szCs w:val="16"/>
        <w:rtl w:val="0"/>
      </w:rPr>
      <w:tab/>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F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100" w:before="280" w:line="240" w:lineRule="auto"/>
      <w:ind w:left="0" w:right="0" w:firstLine="0"/>
      <w:jc w:val="both"/>
      <w:rPr>
        <w:sz w:val="20"/>
        <w:szCs w:val="20"/>
      </w:rPr>
    </w:pPr>
    <w:r w:rsidDel="00000000" w:rsidR="00000000" w:rsidRPr="00000000">
      <w:rPr>
        <w:rtl w:val="0"/>
      </w:rPr>
    </w:r>
  </w:p>
  <w:tbl>
    <w:tblPr>
      <w:tblStyle w:val="Table16"/>
      <w:tblW w:w="918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80"/>
      <w:gridCol w:w="3465"/>
      <w:gridCol w:w="2535"/>
      <w:tblGridChange w:id="0">
        <w:tblGrid>
          <w:gridCol w:w="3180"/>
          <w:gridCol w:w="3465"/>
          <w:gridCol w:w="2535"/>
        </w:tblGrid>
      </w:tblGridChange>
    </w:tblGrid>
    <w:tr>
      <w:trPr>
        <w:cantSplit w:val="0"/>
        <w:trHeight w:val="400"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3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0"/>
              <w:szCs w:val="2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152400</wp:posOffset>
                </wp:positionH>
                <wp:positionV relativeFrom="paragraph">
                  <wp:posOffset>-28574</wp:posOffset>
                </wp:positionV>
                <wp:extent cx="1353185" cy="831215"/>
                <wp:effectExtent b="0" l="0" r="0" t="0"/>
                <wp:wrapTopAndBottom distB="0" distT="0"/>
                <wp:docPr id="1"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1353185" cy="831215"/>
                        </a:xfrm>
                        <a:prstGeom prst="rect"/>
                        <a:ln/>
                      </pic:spPr>
                    </pic:pic>
                  </a:graphicData>
                </a:graphic>
              </wp:anchor>
            </w:drawing>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3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rPr>
          </w:pPr>
          <w:r w:rsidDel="00000000" w:rsidR="00000000" w:rsidRPr="00000000">
            <w:rPr>
              <w:rtl w:val="0"/>
            </w:rPr>
          </w:r>
        </w:p>
        <w:p w:rsidR="00000000" w:rsidDel="00000000" w:rsidP="00000000" w:rsidRDefault="00000000" w:rsidRPr="00000000" w14:paraId="000004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rPr>
          </w:pPr>
          <w:r w:rsidDel="00000000" w:rsidR="00000000" w:rsidRPr="00000000">
            <w:rPr>
              <w:rFonts w:ascii="Arial" w:cs="Arial" w:eastAsia="Arial" w:hAnsi="Arial"/>
              <w:rtl w:val="0"/>
            </w:rPr>
            <w:t xml:space="preserve">Disciplinare di gara</w:t>
          </w:r>
        </w:p>
      </w:tc>
      <w:tc>
        <w:tcPr>
          <w:shd w:fill="auto" w:val="clear"/>
          <w:tcMar>
            <w:top w:w="100.0" w:type="dxa"/>
            <w:left w:w="100.0" w:type="dxa"/>
            <w:bottom w:w="100.0" w:type="dxa"/>
            <w:right w:w="100.0" w:type="dxa"/>
          </w:tcMar>
          <w:vAlign w:val="top"/>
        </w:tcPr>
        <w:p w:rsidR="00000000" w:rsidDel="00000000" w:rsidP="00000000" w:rsidRDefault="00000000" w:rsidRPr="00000000" w14:paraId="000004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Fonts w:ascii="Arial" w:cs="Arial" w:eastAsia="Arial" w:hAnsi="Arial"/>
              <w:rtl w:val="0"/>
            </w:rPr>
            <w:t xml:space="preserve">Allegato 2</w:t>
          </w:r>
        </w:p>
      </w:tc>
    </w:tr>
    <w:tr>
      <w:trPr>
        <w:cantSplit w:val="0"/>
        <w:trHeight w:val="400"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4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0"/>
              <w:szCs w:val="20"/>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4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4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Fonts w:ascii="Arial" w:cs="Arial" w:eastAsia="Arial" w:hAnsi="Arial"/>
              <w:rtl w:val="0"/>
            </w:rPr>
            <w:t xml:space="preserve">pagina </w:t>
          </w:r>
          <w:r w:rsidDel="00000000" w:rsidR="00000000" w:rsidRPr="00000000">
            <w:rPr>
              <w:rFonts w:ascii="Arial" w:cs="Arial" w:eastAsia="Arial" w:hAnsi="Arial"/>
            </w:rPr>
            <w:fldChar w:fldCharType="begin"/>
            <w:instrText xml:space="preserve">PAGE</w:instrText>
            <w:fldChar w:fldCharType="separate"/>
            <w:fldChar w:fldCharType="end"/>
          </w:r>
          <w:r w:rsidDel="00000000" w:rsidR="00000000" w:rsidRPr="00000000">
            <w:rPr>
              <w:rFonts w:ascii="Arial" w:cs="Arial" w:eastAsia="Arial" w:hAnsi="Arial"/>
              <w:rtl w:val="0"/>
            </w:rPr>
            <w:t xml:space="preserve"> di </w:t>
          </w:r>
          <w:r w:rsidDel="00000000" w:rsidR="00000000" w:rsidRPr="00000000">
            <w:rPr>
              <w:rFonts w:ascii="Arial" w:cs="Arial" w:eastAsia="Arial" w:hAnsi="Arial"/>
            </w:rPr>
            <w:fldChar w:fldCharType="begin"/>
            <w:instrText xml:space="preserve">NUMPAGES</w:instrText>
            <w:fldChar w:fldCharType="separate"/>
            <w:fldChar w:fldCharType="end"/>
          </w:r>
          <w:r w:rsidDel="00000000" w:rsidR="00000000" w:rsidRPr="00000000">
            <w:rPr>
              <w:rtl w:val="0"/>
            </w:rPr>
          </w:r>
        </w:p>
      </w:tc>
    </w:tr>
  </w:tbl>
  <w:p w:rsidR="00000000" w:rsidDel="00000000" w:rsidP="00000000" w:rsidRDefault="00000000" w:rsidRPr="00000000" w14:paraId="0000040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100" w:before="280" w:line="240" w:lineRule="auto"/>
      <w:ind w:left="0" w:right="0" w:firstLine="0"/>
      <w:jc w:val="both"/>
      <w:rPr>
        <w:sz w:val="20"/>
        <w:szCs w:val="2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lvl>
    <w:lvl w:ilvl="1">
      <w:start w:val="1"/>
      <w:numFmt w:val="bullet"/>
      <w:lvlText w:val="-"/>
      <w:lvlJc w:val="left"/>
      <w:pPr>
        <w:ind w:left="1440" w:hanging="360"/>
      </w:pPr>
      <w:rPr>
        <w:rFonts w:ascii="Titilium" w:cs="Titilium" w:eastAsia="Titilium" w:hAnsi="Titilium"/>
        <w:color w:val="000000"/>
        <w:sz w:val="18"/>
        <w:szCs w:val="18"/>
      </w:rPr>
    </w:lvl>
    <w:lvl w:ilvl="2">
      <w:start w:val="1"/>
      <w:numFmt w:val="lowerLetter"/>
      <w:lvlText w:val="%3)"/>
      <w:lvlJc w:val="left"/>
      <w:pPr>
        <w:ind w:left="360" w:hanging="360"/>
      </w:pPr>
      <w:rPr>
        <w:rFonts w:ascii="Titillium" w:cs="Titillium" w:eastAsia="Titillium" w:hAnsi="Titillium"/>
        <w:sz w:val="18"/>
        <w:szCs w:val="18"/>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lowerLetter"/>
      <w:lvlText w:val="%1)"/>
      <w:lvlJc w:val="left"/>
      <w:pPr>
        <w:ind w:left="720" w:hanging="360"/>
      </w:pPr>
      <w:rPr>
        <w:rFonts w:ascii="Titillium" w:cs="Titillium" w:eastAsia="Titillium" w:hAnsi="Titillium"/>
        <w:b w:val="1"/>
        <w:i w:val="0"/>
        <w:sz w:val="18"/>
        <w:szCs w:val="18"/>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1."/>
      <w:lvlJc w:val="left"/>
      <w:pPr>
        <w:ind w:left="720" w:hanging="360"/>
      </w:pPr>
      <w:rPr/>
    </w:lvl>
    <w:lvl w:ilvl="1">
      <w:start w:val="1"/>
      <w:numFmt w:val="bullet"/>
      <w:lvlText w:val="-"/>
      <w:lvlJc w:val="left"/>
      <w:pPr>
        <w:ind w:left="1440" w:hanging="360"/>
      </w:pPr>
      <w:rPr>
        <w:rFonts w:ascii="Titilium" w:cs="Titilium" w:eastAsia="Titilium" w:hAnsi="Titilium"/>
        <w:color w:val="000000"/>
        <w:sz w:val="18"/>
        <w:szCs w:val="18"/>
      </w:rPr>
    </w:lvl>
    <w:lvl w:ilvl="2">
      <w:start w:val="1"/>
      <w:numFmt w:val="lowerLetter"/>
      <w:lvlText w:val="%3)"/>
      <w:lvlJc w:val="left"/>
      <w:pPr>
        <w:ind w:left="360" w:hanging="360"/>
      </w:pPr>
      <w:rPr>
        <w:rFonts w:ascii="Titillium" w:cs="Titillium" w:eastAsia="Titillium" w:hAnsi="Titillium"/>
        <w:sz w:val="18"/>
        <w:szCs w:val="18"/>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decimal"/>
      <w:lvlText w:val="."/>
      <w:lvlJc w:val="left"/>
      <w:pPr>
        <w:ind w:left="720" w:hanging="360"/>
      </w:pPr>
      <w:rPr/>
    </w:lvl>
    <w:lvl w:ilvl="1">
      <w:start w:val="1"/>
      <w:numFmt w:val="decimal"/>
      <w:lvlText w:val="%2."/>
      <w:lvlJc w:val="left"/>
      <w:pPr>
        <w:ind w:left="1080" w:hanging="360"/>
      </w:pPr>
      <w:rPr/>
    </w:lvl>
    <w:lvl w:ilvl="2">
      <w:start w:val="1"/>
      <w:numFmt w:val="lowerLetter"/>
      <w:lvlText w:val="%3)"/>
      <w:lvlJc w:val="left"/>
      <w:pPr>
        <w:ind w:left="360" w:hanging="360"/>
      </w:pPr>
      <w:rPr>
        <w:rFonts w:ascii="Titillium" w:cs="Titillium" w:eastAsia="Titillium" w:hAnsi="Titillium"/>
        <w:sz w:val="18"/>
        <w:szCs w:val="18"/>
      </w:rPr>
    </w:lvl>
    <w:lvl w:ilvl="3">
      <w:start w:val="1"/>
      <w:numFmt w:val="decimal"/>
      <w:lvlText w:val="%4."/>
      <w:lvlJc w:val="left"/>
      <w:pPr>
        <w:ind w:left="1800" w:hanging="360"/>
      </w:pPr>
      <w:rPr/>
    </w:lvl>
    <w:lvl w:ilvl="4">
      <w:start w:val="1"/>
      <w:numFmt w:val="decimal"/>
      <w:lvlText w:val="%5."/>
      <w:lvlJc w:val="left"/>
      <w:pPr>
        <w:ind w:left="2160" w:hanging="360"/>
      </w:pPr>
      <w:rPr/>
    </w:lvl>
    <w:lvl w:ilvl="5">
      <w:start w:val="1"/>
      <w:numFmt w:val="decimal"/>
      <w:lvlText w:val="%6."/>
      <w:lvlJc w:val="left"/>
      <w:pPr>
        <w:ind w:left="2520" w:hanging="360"/>
      </w:pPr>
      <w:rPr/>
    </w:lvl>
    <w:lvl w:ilvl="6">
      <w:start w:val="1"/>
      <w:numFmt w:val="decimal"/>
      <w:lvlText w:val="%7."/>
      <w:lvlJc w:val="left"/>
      <w:pPr>
        <w:ind w:left="2880" w:hanging="360"/>
      </w:pPr>
      <w:rPr/>
    </w:lvl>
    <w:lvl w:ilvl="7">
      <w:start w:val="1"/>
      <w:numFmt w:val="decimal"/>
      <w:lvlText w:val="%8."/>
      <w:lvlJc w:val="left"/>
      <w:pPr>
        <w:ind w:left="3240" w:hanging="360"/>
      </w:pPr>
      <w:rPr/>
    </w:lvl>
    <w:lvl w:ilvl="8">
      <w:start w:val="1"/>
      <w:numFmt w:val="decimal"/>
      <w:lvlText w:val="%9."/>
      <w:lvlJc w:val="left"/>
      <w:pPr>
        <w:ind w:left="3600" w:hanging="360"/>
      </w:pPr>
      <w:rPr/>
    </w:lvl>
  </w:abstractNum>
  <w:abstractNum w:abstractNumId="6">
    <w:lvl w:ilvl="0">
      <w:start w:val="1"/>
      <w:numFmt w:val="bullet"/>
      <w:lvlText w:val="-"/>
      <w:lvlJc w:val="left"/>
      <w:pPr>
        <w:ind w:left="720" w:hanging="360"/>
      </w:pPr>
      <w:rPr>
        <w:rFonts w:ascii="Garamond" w:cs="Garamond" w:eastAsia="Garamond" w:hAnsi="Garamond"/>
        <w:b w:val="1"/>
        <w:i w:val="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lowerLetter"/>
      <w:lvlText w:val="%1)"/>
      <w:lvlJc w:val="left"/>
      <w:pPr>
        <w:ind w:left="1146" w:hanging="360"/>
      </w:pPr>
      <w:rPr>
        <w:sz w:val="18"/>
        <w:szCs w:val="18"/>
      </w:rPr>
    </w:lvl>
    <w:lvl w:ilvl="1">
      <w:start w:val="1"/>
      <w:numFmt w:val="lowerLetter"/>
      <w:lvlText w:val="%2."/>
      <w:lvlJc w:val="left"/>
      <w:pPr>
        <w:ind w:left="1866" w:hanging="360"/>
      </w:pPr>
      <w:rPr/>
    </w:lvl>
    <w:lvl w:ilvl="2">
      <w:start w:val="1"/>
      <w:numFmt w:val="lowerRoman"/>
      <w:lvlText w:val="%3."/>
      <w:lvlJc w:val="right"/>
      <w:pPr>
        <w:ind w:left="2586" w:hanging="180"/>
      </w:pPr>
      <w:rPr/>
    </w:lvl>
    <w:lvl w:ilvl="3">
      <w:start w:val="1"/>
      <w:numFmt w:val="decimal"/>
      <w:lvlText w:val="%4."/>
      <w:lvlJc w:val="left"/>
      <w:pPr>
        <w:ind w:left="3306" w:hanging="360"/>
      </w:pPr>
      <w:rPr/>
    </w:lvl>
    <w:lvl w:ilvl="4">
      <w:start w:val="1"/>
      <w:numFmt w:val="lowerLetter"/>
      <w:lvlText w:val="%5."/>
      <w:lvlJc w:val="left"/>
      <w:pPr>
        <w:ind w:left="4026" w:hanging="360"/>
      </w:pPr>
      <w:rPr/>
    </w:lvl>
    <w:lvl w:ilvl="5">
      <w:start w:val="1"/>
      <w:numFmt w:val="lowerRoman"/>
      <w:lvlText w:val="%6."/>
      <w:lvlJc w:val="right"/>
      <w:pPr>
        <w:ind w:left="4746" w:hanging="180"/>
      </w:pPr>
      <w:rPr/>
    </w:lvl>
    <w:lvl w:ilvl="6">
      <w:start w:val="1"/>
      <w:numFmt w:val="decimal"/>
      <w:lvlText w:val="%7."/>
      <w:lvlJc w:val="left"/>
      <w:pPr>
        <w:ind w:left="5466" w:hanging="360"/>
      </w:pPr>
      <w:rPr/>
    </w:lvl>
    <w:lvl w:ilvl="7">
      <w:start w:val="1"/>
      <w:numFmt w:val="lowerLetter"/>
      <w:lvlText w:val="%8."/>
      <w:lvlJc w:val="left"/>
      <w:pPr>
        <w:ind w:left="6186" w:hanging="360"/>
      </w:pPr>
      <w:rPr/>
    </w:lvl>
    <w:lvl w:ilvl="8">
      <w:start w:val="1"/>
      <w:numFmt w:val="lowerRoman"/>
      <w:lvlText w:val="%9."/>
      <w:lvlJc w:val="right"/>
      <w:pPr>
        <w:ind w:left="6906" w:hanging="180"/>
      </w:pPr>
      <w:rPr/>
    </w:lvl>
  </w:abstractNum>
  <w:abstractNum w:abstractNumId="8">
    <w:lvl w:ilvl="0">
      <w:start w:val="1"/>
      <w:numFmt w:val="bullet"/>
      <w:lvlText w:val="-"/>
      <w:lvlJc w:val="left"/>
      <w:pPr>
        <w:ind w:left="720" w:hanging="360"/>
      </w:pPr>
      <w:rPr>
        <w:rFonts w:ascii="Garamond" w:cs="Garamond" w:eastAsia="Garamond" w:hAnsi="Garamond"/>
        <w:b w:val="1"/>
        <w:i w:val="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0">
    <w:lvl w:ilvl="0">
      <w:start w:val="1"/>
      <w:numFmt w:val="lowerLetter"/>
      <w:lvlText w:val="%1."/>
      <w:lvlJc w:val="left"/>
      <w:pPr>
        <w:ind w:left="1429" w:hanging="360"/>
      </w:pPr>
      <w:rPr>
        <w:sz w:val="18"/>
        <w:szCs w:val="18"/>
      </w:rPr>
    </w:lvl>
    <w:lvl w:ilvl="1">
      <w:start w:val="1"/>
      <w:numFmt w:val="lowerLetter"/>
      <w:lvlText w:val="%2."/>
      <w:lvlJc w:val="left"/>
      <w:pPr>
        <w:ind w:left="2149" w:hanging="360"/>
      </w:pPr>
      <w:rPr/>
    </w:lvl>
    <w:lvl w:ilvl="2">
      <w:start w:val="1"/>
      <w:numFmt w:val="lowerRoman"/>
      <w:lvlText w:val="%3."/>
      <w:lvlJc w:val="right"/>
      <w:pPr>
        <w:ind w:left="2869" w:hanging="180"/>
      </w:pPr>
      <w:rPr/>
    </w:lvl>
    <w:lvl w:ilvl="3">
      <w:start w:val="1"/>
      <w:numFmt w:val="decimal"/>
      <w:lvlText w:val="%4."/>
      <w:lvlJc w:val="left"/>
      <w:pPr>
        <w:ind w:left="3589" w:hanging="360"/>
      </w:pPr>
      <w:rPr/>
    </w:lvl>
    <w:lvl w:ilvl="4">
      <w:start w:val="1"/>
      <w:numFmt w:val="lowerLetter"/>
      <w:lvlText w:val="%5."/>
      <w:lvlJc w:val="left"/>
      <w:pPr>
        <w:ind w:left="4309" w:hanging="360"/>
      </w:pPr>
      <w:rPr/>
    </w:lvl>
    <w:lvl w:ilvl="5">
      <w:start w:val="1"/>
      <w:numFmt w:val="lowerRoman"/>
      <w:lvlText w:val="%6."/>
      <w:lvlJc w:val="right"/>
      <w:pPr>
        <w:ind w:left="5029" w:hanging="180"/>
      </w:pPr>
      <w:rPr/>
    </w:lvl>
    <w:lvl w:ilvl="6">
      <w:start w:val="1"/>
      <w:numFmt w:val="decimal"/>
      <w:lvlText w:val="%7."/>
      <w:lvlJc w:val="left"/>
      <w:pPr>
        <w:ind w:left="5749" w:hanging="360"/>
      </w:pPr>
      <w:rPr/>
    </w:lvl>
    <w:lvl w:ilvl="7">
      <w:start w:val="1"/>
      <w:numFmt w:val="lowerLetter"/>
      <w:lvlText w:val="%8."/>
      <w:lvlJc w:val="left"/>
      <w:pPr>
        <w:ind w:left="6469" w:hanging="360"/>
      </w:pPr>
      <w:rPr/>
    </w:lvl>
    <w:lvl w:ilvl="8">
      <w:start w:val="1"/>
      <w:numFmt w:val="lowerRoman"/>
      <w:lvlText w:val="%9."/>
      <w:lvlJc w:val="right"/>
      <w:pPr>
        <w:ind w:left="7189" w:hanging="180"/>
      </w:pPr>
      <w:rPr/>
    </w:lvl>
  </w:abstractNum>
  <w:abstractNum w:abstractNumId="11">
    <w:lvl w:ilvl="0">
      <w:start w:val="1"/>
      <w:numFmt w:val="bullet"/>
      <w:lvlText w:val="-"/>
      <w:lvlJc w:val="left"/>
      <w:pPr>
        <w:ind w:left="720" w:hanging="360"/>
      </w:pPr>
      <w:rPr>
        <w:rFonts w:ascii="Garamond" w:cs="Garamond" w:eastAsia="Garamond" w:hAnsi="Garamond"/>
        <w:b w:val="1"/>
        <w:i w:val="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
    <w:lvl w:ilvl="0">
      <w:start w:val="1"/>
      <w:numFmt w:val="bullet"/>
      <w:lvlText w:val="-"/>
      <w:lvlJc w:val="left"/>
      <w:pPr>
        <w:ind w:left="720" w:hanging="360"/>
      </w:pPr>
      <w:rPr>
        <w:rFonts w:ascii="Garamond" w:cs="Garamond" w:eastAsia="Garamond" w:hAnsi="Garamond"/>
        <w:b w:val="1"/>
        <w:i w:val="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lowerLetter"/>
      <w:lvlText w:val="%1)"/>
      <w:lvlJc w:val="left"/>
      <w:pPr>
        <w:ind w:left="720" w:hanging="360"/>
      </w:pPr>
      <w:rPr>
        <w:rFonts w:ascii="Titillium" w:cs="Titillium" w:eastAsia="Titillium" w:hAnsi="Titillium"/>
        <w:b w:val="1"/>
        <w:i w:val="0"/>
        <w:sz w:val="18"/>
        <w:szCs w:val="18"/>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5">
    <w:lvl w:ilvl="0">
      <w:start w:val="1"/>
      <w:numFmt w:val="decimal"/>
      <w:lvlText w:val="%1."/>
      <w:lvlJc w:val="left"/>
      <w:pPr>
        <w:ind w:left="720" w:hanging="360"/>
      </w:pPr>
      <w:rPr/>
    </w:lvl>
    <w:lvl w:ilvl="1">
      <w:start w:val="1"/>
      <w:numFmt w:val="bullet"/>
      <w:lvlText w:val="-"/>
      <w:lvlJc w:val="left"/>
      <w:pPr>
        <w:ind w:left="1440" w:hanging="360"/>
      </w:pPr>
      <w:rPr>
        <w:rFonts w:ascii="Titilium" w:cs="Titilium" w:eastAsia="Titilium" w:hAnsi="Titilium"/>
        <w:color w:val="000000"/>
        <w:sz w:val="18"/>
        <w:szCs w:val="18"/>
      </w:rPr>
    </w:lvl>
    <w:lvl w:ilvl="2">
      <w:start w:val="1"/>
      <w:numFmt w:val="lowerLetter"/>
      <w:lvlText w:val="%3)"/>
      <w:lvlJc w:val="left"/>
      <w:pPr>
        <w:ind w:left="360" w:hanging="360"/>
      </w:pPr>
      <w:rPr>
        <w:rFonts w:ascii="Titillium" w:cs="Titillium" w:eastAsia="Titillium" w:hAnsi="Titillium"/>
        <w:sz w:val="18"/>
        <w:szCs w:val="18"/>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6">
    <w:lvl w:ilvl="0">
      <w:start w:val="1"/>
      <w:numFmt w:val="decimal"/>
      <w:lvlText w:val="%1."/>
      <w:lvlJc w:val="left"/>
      <w:pPr>
        <w:ind w:left="360" w:hanging="360"/>
      </w:pPr>
      <w:rPr/>
    </w:lvl>
    <w:lvl w:ilvl="1">
      <w:start w:val="1"/>
      <w:numFmt w:val="decimal"/>
      <w:lvlText w:val="%1.%2."/>
      <w:lvlJc w:val="left"/>
      <w:pPr>
        <w:ind w:left="792" w:hanging="432"/>
      </w:pPr>
      <w:rPr>
        <w:b w:val="0"/>
        <w:i w:val="0"/>
        <w:sz w:val="24"/>
        <w:szCs w:val="24"/>
      </w:rPr>
    </w:lvl>
    <w:lvl w:ilvl="2">
      <w:start w:val="1"/>
      <w:numFmt w:val="decimal"/>
      <w:lvlText w:val="%1.%2.%3."/>
      <w:lvlJc w:val="left"/>
      <w:pPr>
        <w:ind w:left="788" w:hanging="504"/>
      </w:pPr>
      <w:rPr>
        <w:b w:val="0"/>
        <w:i w:val="0"/>
        <w:strike w:val="0"/>
        <w:sz w:val="24"/>
        <w:szCs w:val="24"/>
      </w:rPr>
    </w:lvl>
    <w:lvl w:ilvl="3">
      <w:start w:val="1"/>
      <w:numFmt w:val="decimal"/>
      <w:lvlText w:val="%1.%2.%3.%4."/>
      <w:lvlJc w:val="left"/>
      <w:pPr>
        <w:ind w:left="932" w:hanging="648"/>
      </w:pPr>
      <w:rPr>
        <w:b w:val="0"/>
        <w:strike w:val="0"/>
        <w:color w:val="000000"/>
        <w:sz w:val="24"/>
        <w:szCs w:val="24"/>
      </w:rPr>
    </w:lvl>
    <w:lvl w:ilvl="4">
      <w:start w:val="1"/>
      <w:numFmt w:val="lowerLetter"/>
      <w:lvlText w:val="%5."/>
      <w:lvlJc w:val="left"/>
      <w:pPr>
        <w:ind w:left="2069" w:hanging="792"/>
      </w:pPr>
      <w:rPr>
        <w:sz w:val="18"/>
        <w:szCs w:val="18"/>
      </w:rPr>
    </w:lvl>
    <w:lvl w:ilvl="5">
      <w:start w:val="1"/>
      <w:numFmt w:val="decimal"/>
      <w:lvlText w:val="%1.%2.%3.%4.%5.%6."/>
      <w:lvlJc w:val="left"/>
      <w:pPr>
        <w:ind w:left="2736" w:hanging="935.9999999999998"/>
      </w:pPr>
      <w:rPr/>
    </w:lvl>
    <w:lvl w:ilvl="6">
      <w:start w:val="1"/>
      <w:numFmt w:val="decimal"/>
      <w:lvlText w:val="%1.%2.%3.%4.%5.%6.%7."/>
      <w:lvlJc w:val="left"/>
      <w:pPr>
        <w:ind w:left="3240" w:hanging="1080"/>
      </w:pPr>
      <w:rPr/>
    </w:lvl>
    <w:lvl w:ilvl="7">
      <w:start w:val="1"/>
      <w:numFmt w:val="decimal"/>
      <w:lvlText w:val="%1.%2.%3.%4.%5.%6.%7.%8."/>
      <w:lvlJc w:val="left"/>
      <w:pPr>
        <w:ind w:left="3744" w:hanging="1224.0000000000005"/>
      </w:pPr>
      <w:rPr/>
    </w:lvl>
    <w:lvl w:ilvl="8">
      <w:start w:val="1"/>
      <w:numFmt w:val="decimal"/>
      <w:lvlText w:val="%1.%2.%3.%4.%5.%6.%7.%8.%9."/>
      <w:lvlJc w:val="left"/>
      <w:pPr>
        <w:ind w:left="4320" w:hanging="1440"/>
      </w:pPr>
      <w:rPr/>
    </w:lvl>
  </w:abstractNum>
  <w:abstractNum w:abstractNumId="1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lvl w:ilvl="0">
      <w:start w:val="1"/>
      <w:numFmt w:val="decimal"/>
      <w:lvlText w:val="%1."/>
      <w:lvlJc w:val="left"/>
      <w:pPr>
        <w:ind w:left="360" w:hanging="360"/>
      </w:pPr>
      <w:rPr/>
    </w:lvl>
    <w:lvl w:ilvl="1">
      <w:start w:val="1"/>
      <w:numFmt w:val="decimal"/>
      <w:lvlText w:val="%1.%2."/>
      <w:lvlJc w:val="left"/>
      <w:pPr>
        <w:ind w:left="792" w:hanging="432"/>
      </w:pPr>
      <w:rPr>
        <w:b w:val="0"/>
        <w:i w:val="0"/>
        <w:sz w:val="24"/>
        <w:szCs w:val="24"/>
      </w:rPr>
    </w:lvl>
    <w:lvl w:ilvl="2">
      <w:start w:val="1"/>
      <w:numFmt w:val="lowerLetter"/>
      <w:lvlText w:val="%3)"/>
      <w:lvlJc w:val="left"/>
      <w:pPr>
        <w:ind w:left="4049" w:hanging="504"/>
      </w:pPr>
      <w:rPr>
        <w:rFonts w:ascii="Titillium" w:cs="Titillium" w:eastAsia="Titillium" w:hAnsi="Titillium"/>
        <w:b w:val="0"/>
        <w:i w:val="0"/>
        <w:strike w:val="0"/>
        <w:sz w:val="18"/>
        <w:szCs w:val="18"/>
      </w:rPr>
    </w:lvl>
    <w:lvl w:ilvl="3">
      <w:start w:val="1"/>
      <w:numFmt w:val="decimal"/>
      <w:lvlText w:val="%1.%2.%3.%4."/>
      <w:lvlJc w:val="left"/>
      <w:pPr>
        <w:ind w:left="932" w:hanging="648"/>
      </w:pPr>
      <w:rPr>
        <w:b w:val="0"/>
        <w:strike w:val="0"/>
        <w:color w:val="000000"/>
        <w:sz w:val="24"/>
        <w:szCs w:val="24"/>
      </w:rPr>
    </w:lvl>
    <w:lvl w:ilvl="4">
      <w:start w:val="1"/>
      <w:numFmt w:val="decimal"/>
      <w:lvlText w:val="%1.%2.%3.%4.%5."/>
      <w:lvlJc w:val="left"/>
      <w:pPr>
        <w:ind w:left="2069" w:hanging="792"/>
      </w:pPr>
      <w:rPr/>
    </w:lvl>
    <w:lvl w:ilvl="5">
      <w:start w:val="1"/>
      <w:numFmt w:val="decimal"/>
      <w:lvlText w:val="%1.%2.%3.%4.%5.%6."/>
      <w:lvlJc w:val="left"/>
      <w:pPr>
        <w:ind w:left="2736" w:hanging="935.9999999999998"/>
      </w:pPr>
      <w:rPr/>
    </w:lvl>
    <w:lvl w:ilvl="6">
      <w:start w:val="1"/>
      <w:numFmt w:val="decimal"/>
      <w:lvlText w:val="%1.%2.%3.%4.%5.%6.%7."/>
      <w:lvlJc w:val="left"/>
      <w:pPr>
        <w:ind w:left="3240" w:hanging="1080"/>
      </w:pPr>
      <w:rPr/>
    </w:lvl>
    <w:lvl w:ilvl="7">
      <w:start w:val="1"/>
      <w:numFmt w:val="decimal"/>
      <w:lvlText w:val="%1.%2.%3.%4.%5.%6.%7.%8."/>
      <w:lvlJc w:val="left"/>
      <w:pPr>
        <w:ind w:left="3744" w:hanging="1224.0000000000005"/>
      </w:pPr>
      <w:rPr/>
    </w:lvl>
    <w:lvl w:ilvl="8">
      <w:start w:val="1"/>
      <w:numFmt w:val="decimal"/>
      <w:lvlText w:val="%1.%2.%3.%4.%5.%6.%7.%8.%9."/>
      <w:lvlJc w:val="left"/>
      <w:pPr>
        <w:ind w:left="4320" w:hanging="1440"/>
      </w:pPr>
      <w:rPr/>
    </w:lvl>
  </w:abstractNum>
  <w:abstractNum w:abstractNumId="19">
    <w:lvl w:ilvl="0">
      <w:start w:val="1"/>
      <w:numFmt w:val="lowerLetter"/>
      <w:lvlText w:val="%1)"/>
      <w:lvlJc w:val="left"/>
      <w:pPr>
        <w:ind w:left="928" w:hanging="360"/>
      </w:pPr>
      <w:rPr>
        <w:rFonts w:ascii="Titillium" w:cs="Titillium" w:eastAsia="Titillium" w:hAnsi="Titillium"/>
        <w:i w:val="0"/>
        <w:sz w:val="18"/>
        <w:szCs w:val="18"/>
      </w:rPr>
    </w:lvl>
    <w:lvl w:ilvl="1">
      <w:start w:val="1"/>
      <w:numFmt w:val="lowerLetter"/>
      <w:lvlText w:val="%2."/>
      <w:lvlJc w:val="left"/>
      <w:pPr>
        <w:ind w:left="1724" w:hanging="360"/>
      </w:pPr>
      <w:rPr/>
    </w:lvl>
    <w:lvl w:ilvl="2">
      <w:start w:val="1"/>
      <w:numFmt w:val="lowerRoman"/>
      <w:lvlText w:val="%3."/>
      <w:lvlJc w:val="right"/>
      <w:pPr>
        <w:ind w:left="2444" w:hanging="180"/>
      </w:pPr>
      <w:rPr/>
    </w:lvl>
    <w:lvl w:ilvl="3">
      <w:start w:val="1"/>
      <w:numFmt w:val="decimal"/>
      <w:lvlText w:val="%4."/>
      <w:lvlJc w:val="left"/>
      <w:pPr>
        <w:ind w:left="3164" w:hanging="360"/>
      </w:pPr>
      <w:rPr/>
    </w:lvl>
    <w:lvl w:ilvl="4">
      <w:start w:val="1"/>
      <w:numFmt w:val="lowerLetter"/>
      <w:lvlText w:val="%5."/>
      <w:lvlJc w:val="left"/>
      <w:pPr>
        <w:ind w:left="3884" w:hanging="360"/>
      </w:pPr>
      <w:rPr/>
    </w:lvl>
    <w:lvl w:ilvl="5">
      <w:start w:val="1"/>
      <w:numFmt w:val="lowerRoman"/>
      <w:lvlText w:val="%6."/>
      <w:lvlJc w:val="right"/>
      <w:pPr>
        <w:ind w:left="4604" w:hanging="180"/>
      </w:pPr>
      <w:rPr/>
    </w:lvl>
    <w:lvl w:ilvl="6">
      <w:start w:val="1"/>
      <w:numFmt w:val="decimal"/>
      <w:lvlText w:val="%7."/>
      <w:lvlJc w:val="left"/>
      <w:pPr>
        <w:ind w:left="5324" w:hanging="360"/>
      </w:pPr>
      <w:rPr/>
    </w:lvl>
    <w:lvl w:ilvl="7">
      <w:start w:val="1"/>
      <w:numFmt w:val="lowerLetter"/>
      <w:lvlText w:val="%8."/>
      <w:lvlJc w:val="left"/>
      <w:pPr>
        <w:ind w:left="6044" w:hanging="360"/>
      </w:pPr>
      <w:rPr/>
    </w:lvl>
    <w:lvl w:ilvl="8">
      <w:start w:val="1"/>
      <w:numFmt w:val="lowerRoman"/>
      <w:lvlText w:val="%9."/>
      <w:lvlJc w:val="right"/>
      <w:pPr>
        <w:ind w:left="6764" w:hanging="180"/>
      </w:pPr>
      <w:rPr/>
    </w:lvl>
  </w:abstractNum>
  <w:abstractNum w:abstractNumId="20">
    <w:lvl w:ilvl="0">
      <w:start w:val="1"/>
      <w:numFmt w:val="lowerLetter"/>
      <w:lvlText w:val="%1)"/>
      <w:lvlJc w:val="left"/>
      <w:pPr>
        <w:ind w:left="1146" w:hanging="360"/>
      </w:pPr>
      <w:rPr/>
    </w:lvl>
    <w:lvl w:ilvl="1">
      <w:start w:val="1"/>
      <w:numFmt w:val="bullet"/>
      <w:lvlText w:val="−"/>
      <w:lvlJc w:val="left"/>
      <w:pPr>
        <w:ind w:left="862" w:hanging="360"/>
      </w:pPr>
      <w:rPr>
        <w:rFonts w:ascii="Noto Sans Symbols" w:cs="Noto Sans Symbols" w:eastAsia="Noto Sans Symbols" w:hAnsi="Noto Sans Symbols"/>
      </w:rPr>
    </w:lvl>
    <w:lvl w:ilvl="2">
      <w:start w:val="1"/>
      <w:numFmt w:val="lowerRoman"/>
      <w:lvlText w:val="%3."/>
      <w:lvlJc w:val="right"/>
      <w:pPr>
        <w:ind w:left="2586" w:hanging="180"/>
      </w:pPr>
      <w:rPr/>
    </w:lvl>
    <w:lvl w:ilvl="3">
      <w:start w:val="1"/>
      <w:numFmt w:val="decimal"/>
      <w:lvlText w:val="%4."/>
      <w:lvlJc w:val="left"/>
      <w:pPr>
        <w:ind w:left="3306" w:hanging="360"/>
      </w:pPr>
      <w:rPr/>
    </w:lvl>
    <w:lvl w:ilvl="4">
      <w:start w:val="1"/>
      <w:numFmt w:val="lowerLetter"/>
      <w:lvlText w:val="%5."/>
      <w:lvlJc w:val="left"/>
      <w:pPr>
        <w:ind w:left="4026" w:hanging="360"/>
      </w:pPr>
      <w:rPr/>
    </w:lvl>
    <w:lvl w:ilvl="5">
      <w:start w:val="1"/>
      <w:numFmt w:val="lowerRoman"/>
      <w:lvlText w:val="%6."/>
      <w:lvlJc w:val="right"/>
      <w:pPr>
        <w:ind w:left="4746" w:hanging="180"/>
      </w:pPr>
      <w:rPr/>
    </w:lvl>
    <w:lvl w:ilvl="6">
      <w:start w:val="1"/>
      <w:numFmt w:val="decimal"/>
      <w:lvlText w:val="%7."/>
      <w:lvlJc w:val="left"/>
      <w:pPr>
        <w:ind w:left="5466" w:hanging="360"/>
      </w:pPr>
      <w:rPr/>
    </w:lvl>
    <w:lvl w:ilvl="7">
      <w:start w:val="1"/>
      <w:numFmt w:val="lowerLetter"/>
      <w:lvlText w:val="%8."/>
      <w:lvlJc w:val="left"/>
      <w:pPr>
        <w:ind w:left="6186" w:hanging="360"/>
      </w:pPr>
      <w:rPr/>
    </w:lvl>
    <w:lvl w:ilvl="8">
      <w:start w:val="1"/>
      <w:numFmt w:val="lowerRoman"/>
      <w:lvlText w:val="%9."/>
      <w:lvlJc w:val="right"/>
      <w:pPr>
        <w:ind w:left="6906" w:hanging="180"/>
      </w:pPr>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Letter"/>
      <w:lvlText w:val="%3)"/>
      <w:lvlJc w:val="left"/>
      <w:pPr>
        <w:ind w:left="2591" w:hanging="180"/>
      </w:pPr>
      <w:rPr>
        <w:rFonts w:ascii="Titillium" w:cs="Titillium" w:eastAsia="Titillium" w:hAnsi="Titillium"/>
        <w:sz w:val="18"/>
        <w:szCs w:val="18"/>
      </w:rPr>
    </w:lvl>
    <w:lvl w:ilvl="3">
      <w:start w:val="1"/>
      <w:numFmt w:val="lowerLetter"/>
      <w:lvlText w:val="%4."/>
      <w:lvlJc w:val="left"/>
      <w:pPr>
        <w:ind w:left="992.1259842519685" w:hanging="566.9291338582676"/>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3">
    <w:lvl w:ilvl="0">
      <w:start w:val="1"/>
      <w:numFmt w:val="bullet"/>
      <w:lvlText w:val="−"/>
      <w:lvlJc w:val="left"/>
      <w:pPr>
        <w:ind w:left="862" w:hanging="360"/>
      </w:pPr>
      <w:rPr>
        <w:rFonts w:ascii="Noto Sans Symbols" w:cs="Noto Sans Symbols" w:eastAsia="Noto Sans Symbols" w:hAnsi="Noto Sans Symbols"/>
      </w:rPr>
    </w:lvl>
    <w:lvl w:ilvl="1">
      <w:start w:val="1"/>
      <w:numFmt w:val="bullet"/>
      <w:lvlText w:val="o"/>
      <w:lvlJc w:val="left"/>
      <w:pPr>
        <w:ind w:left="1582" w:hanging="360"/>
      </w:pPr>
      <w:rPr>
        <w:rFonts w:ascii="Courier New" w:cs="Courier New" w:eastAsia="Courier New" w:hAnsi="Courier New"/>
      </w:rPr>
    </w:lvl>
    <w:lvl w:ilvl="2">
      <w:start w:val="1"/>
      <w:numFmt w:val="bullet"/>
      <w:lvlText w:val="▪"/>
      <w:lvlJc w:val="left"/>
      <w:pPr>
        <w:ind w:left="2302" w:hanging="360"/>
      </w:pPr>
      <w:rPr>
        <w:rFonts w:ascii="Noto Sans Symbols" w:cs="Noto Sans Symbols" w:eastAsia="Noto Sans Symbols" w:hAnsi="Noto Sans Symbols"/>
      </w:rPr>
    </w:lvl>
    <w:lvl w:ilvl="3">
      <w:start w:val="1"/>
      <w:numFmt w:val="bullet"/>
      <w:lvlText w:val="●"/>
      <w:lvlJc w:val="left"/>
      <w:pPr>
        <w:ind w:left="3022" w:hanging="360"/>
      </w:pPr>
      <w:rPr>
        <w:rFonts w:ascii="Noto Sans Symbols" w:cs="Noto Sans Symbols" w:eastAsia="Noto Sans Symbols" w:hAnsi="Noto Sans Symbols"/>
      </w:rPr>
    </w:lvl>
    <w:lvl w:ilvl="4">
      <w:start w:val="1"/>
      <w:numFmt w:val="bullet"/>
      <w:lvlText w:val="o"/>
      <w:lvlJc w:val="left"/>
      <w:pPr>
        <w:ind w:left="3742" w:hanging="360"/>
      </w:pPr>
      <w:rPr>
        <w:rFonts w:ascii="Courier New" w:cs="Courier New" w:eastAsia="Courier New" w:hAnsi="Courier New"/>
      </w:rPr>
    </w:lvl>
    <w:lvl w:ilvl="5">
      <w:start w:val="1"/>
      <w:numFmt w:val="bullet"/>
      <w:lvlText w:val="▪"/>
      <w:lvlJc w:val="left"/>
      <w:pPr>
        <w:ind w:left="4462" w:hanging="360"/>
      </w:pPr>
      <w:rPr>
        <w:rFonts w:ascii="Noto Sans Symbols" w:cs="Noto Sans Symbols" w:eastAsia="Noto Sans Symbols" w:hAnsi="Noto Sans Symbols"/>
      </w:rPr>
    </w:lvl>
    <w:lvl w:ilvl="6">
      <w:start w:val="1"/>
      <w:numFmt w:val="bullet"/>
      <w:lvlText w:val="●"/>
      <w:lvlJc w:val="left"/>
      <w:pPr>
        <w:ind w:left="5182" w:hanging="360"/>
      </w:pPr>
      <w:rPr>
        <w:rFonts w:ascii="Noto Sans Symbols" w:cs="Noto Sans Symbols" w:eastAsia="Noto Sans Symbols" w:hAnsi="Noto Sans Symbols"/>
      </w:rPr>
    </w:lvl>
    <w:lvl w:ilvl="7">
      <w:start w:val="1"/>
      <w:numFmt w:val="bullet"/>
      <w:lvlText w:val="o"/>
      <w:lvlJc w:val="left"/>
      <w:pPr>
        <w:ind w:left="5902" w:hanging="360"/>
      </w:pPr>
      <w:rPr>
        <w:rFonts w:ascii="Courier New" w:cs="Courier New" w:eastAsia="Courier New" w:hAnsi="Courier New"/>
      </w:rPr>
    </w:lvl>
    <w:lvl w:ilvl="8">
      <w:start w:val="1"/>
      <w:numFmt w:val="bullet"/>
      <w:lvlText w:val="▪"/>
      <w:lvlJc w:val="left"/>
      <w:pPr>
        <w:ind w:left="6622" w:hanging="360"/>
      </w:pPr>
      <w:rPr>
        <w:rFonts w:ascii="Noto Sans Symbols" w:cs="Noto Sans Symbols" w:eastAsia="Noto Sans Symbols" w:hAnsi="Noto Sans Symbols"/>
      </w:rPr>
    </w:lvl>
  </w:abstractNum>
  <w:abstractNum w:abstractNumId="2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lowerLetter"/>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5">
    <w:lvl w:ilvl="0">
      <w:start w:val="1"/>
      <w:numFmt w:val="bullet"/>
      <w:lvlText w:val="−"/>
      <w:lvlJc w:val="left"/>
      <w:pPr>
        <w:ind w:left="720" w:hanging="360"/>
      </w:pPr>
      <w:rPr>
        <w:rFonts w:ascii="Noto Sans Symbols" w:cs="Noto Sans Symbols" w:eastAsia="Noto Sans Symbols" w:hAnsi="Noto Sans Symbols"/>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6">
    <w:lvl w:ilvl="0">
      <w:start w:val="1"/>
      <w:numFmt w:val="bullet"/>
      <w:lvlText w:val="-"/>
      <w:lvlJc w:val="left"/>
      <w:pPr>
        <w:ind w:left="1080" w:hanging="360"/>
      </w:pPr>
      <w:rPr>
        <w:rFonts w:ascii="Titilium" w:cs="Titilium" w:eastAsia="Titilium" w:hAnsi="Titilium"/>
        <w:color w:val="000000"/>
        <w:sz w:val="18"/>
        <w:szCs w:val="18"/>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2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8">
    <w:lvl w:ilvl="0">
      <w:start w:val="1"/>
      <w:numFmt w:val="bullet"/>
      <w:lvlText w:val="-"/>
      <w:lvlJc w:val="left"/>
      <w:pPr>
        <w:ind w:left="720" w:hanging="360"/>
      </w:pPr>
      <w:rPr>
        <w:rFonts w:ascii="Garamond" w:cs="Garamond" w:eastAsia="Garamond" w:hAnsi="Garamond"/>
        <w:b w:val="1"/>
        <w:i w:val="0"/>
      </w:rPr>
    </w:lvl>
    <w:lvl w:ilvl="1">
      <w:start w:val="1"/>
      <w:numFmt w:val="bullet"/>
      <w:lvlText w:val="o"/>
      <w:lvlJc w:val="left"/>
      <w:pPr>
        <w:ind w:left="1440" w:hanging="360"/>
      </w:pPr>
      <w:rPr>
        <w:rFonts w:ascii="Courier New" w:cs="Courier New" w:eastAsia="Courier New" w:hAnsi="Courier New"/>
      </w:rPr>
    </w:lvl>
    <w:lvl w:ilvl="2">
      <w:start w:val="1"/>
      <w:numFmt w:val="bullet"/>
      <w:lvlText w:val="o"/>
      <w:lvlJc w:val="left"/>
      <w:pPr>
        <w:ind w:left="3600" w:hanging="360"/>
      </w:pPr>
      <w:rPr>
        <w:rFonts w:ascii="Courier New" w:cs="Courier New" w:eastAsia="Courier New" w:hAnsi="Courier New"/>
      </w:rPr>
    </w:lvl>
    <w:lvl w:ilvl="3">
      <w:start w:val="1"/>
      <w:numFmt w:val="bullet"/>
      <w:lvlText w:val="o"/>
      <w:lvlJc w:val="left"/>
      <w:pPr>
        <w:ind w:left="5760" w:hanging="360"/>
      </w:pPr>
      <w:rPr>
        <w:rFonts w:ascii="Courier New" w:cs="Courier New" w:eastAsia="Courier New" w:hAnsi="Courier New"/>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1">
    <w:lvl w:ilvl="0">
      <w:start w:val="1"/>
      <w:numFmt w:val="decimal"/>
      <w:lvlText w:val="%1."/>
      <w:lvlJc w:val="left"/>
      <w:pPr>
        <w:ind w:left="360" w:hanging="360"/>
      </w:pPr>
      <w:rPr/>
    </w:lvl>
    <w:lvl w:ilvl="1">
      <w:start w:val="1"/>
      <w:numFmt w:val="lowerLetter"/>
      <w:lvlText w:val="%1.%2)"/>
      <w:lvlJc w:val="left"/>
      <w:pPr>
        <w:ind w:left="792" w:hanging="432"/>
      </w:pPr>
      <w:rPr/>
    </w:lvl>
    <w:lvl w:ilvl="2">
      <w:start w:val="1"/>
      <w:numFmt w:val="decimal"/>
      <w:lvlText w:val="%1.%2.%3."/>
      <w:lvlJc w:val="left"/>
      <w:pPr>
        <w:ind w:left="1497" w:hanging="504.0000000000002"/>
      </w:pPr>
      <w:rPr>
        <w:b w:val="0"/>
        <w:i w:val="0"/>
        <w:strike w:val="0"/>
        <w:sz w:val="24"/>
        <w:szCs w:val="24"/>
      </w:rPr>
    </w:lvl>
    <w:lvl w:ilvl="3">
      <w:start w:val="1"/>
      <w:numFmt w:val="lowerLetter"/>
      <w:lvlText w:val="%4."/>
      <w:lvlJc w:val="left"/>
      <w:pPr>
        <w:ind w:left="932" w:hanging="648"/>
      </w:pPr>
      <w:rPr>
        <w:b w:val="0"/>
        <w:strike w:val="0"/>
        <w:color w:val="000000"/>
        <w:sz w:val="18"/>
        <w:szCs w:val="18"/>
      </w:rPr>
    </w:lvl>
    <w:lvl w:ilvl="4">
      <w:start w:val="1"/>
      <w:numFmt w:val="decimal"/>
      <w:lvlText w:val="%1.%2.%3.%4.%5."/>
      <w:lvlJc w:val="left"/>
      <w:pPr>
        <w:ind w:left="2069" w:hanging="792"/>
      </w:pPr>
      <w:rPr/>
    </w:lvl>
    <w:lvl w:ilvl="5">
      <w:start w:val="1"/>
      <w:numFmt w:val="decimal"/>
      <w:lvlText w:val="%1.%2.%3.%4.%5.%6."/>
      <w:lvlJc w:val="left"/>
      <w:pPr>
        <w:ind w:left="2736" w:hanging="935.9999999999998"/>
      </w:pPr>
      <w:rPr/>
    </w:lvl>
    <w:lvl w:ilvl="6">
      <w:start w:val="1"/>
      <w:numFmt w:val="decimal"/>
      <w:lvlText w:val="%1.%2.%3.%4.%5.%6.%7."/>
      <w:lvlJc w:val="left"/>
      <w:pPr>
        <w:ind w:left="3240" w:hanging="1080"/>
      </w:pPr>
      <w:rPr/>
    </w:lvl>
    <w:lvl w:ilvl="7">
      <w:start w:val="1"/>
      <w:numFmt w:val="decimal"/>
      <w:lvlText w:val="%1.%2.%3.%4.%5.%6.%7.%8."/>
      <w:lvlJc w:val="left"/>
      <w:pPr>
        <w:ind w:left="3744" w:hanging="1224.0000000000005"/>
      </w:pPr>
      <w:rPr/>
    </w:lvl>
    <w:lvl w:ilvl="8">
      <w:start w:val="1"/>
      <w:numFmt w:val="decimal"/>
      <w:lvlText w:val="%1.%2.%3.%4.%5.%6.%7.%8.%9."/>
      <w:lvlJc w:val="left"/>
      <w:pPr>
        <w:ind w:left="4320" w:hanging="1440"/>
      </w:pPr>
      <w:rPr/>
    </w:lvl>
  </w:abstractNum>
  <w:abstractNum w:abstractNumId="32">
    <w:lvl w:ilvl="0">
      <w:start w:val="1"/>
      <w:numFmt w:val="decimal"/>
      <w:lvlText w:val="%1)"/>
      <w:lvlJc w:val="left"/>
      <w:pPr>
        <w:ind w:left="720" w:hanging="360"/>
      </w:pPr>
      <w:rPr>
        <w:rFonts w:ascii="Titillium" w:cs="Titillium" w:eastAsia="Titillium" w:hAnsi="Titillium"/>
        <w:b w:val="0"/>
        <w:i w:val="0"/>
        <w:sz w:val="18"/>
        <w:szCs w:val="18"/>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Noto Sans Symbols" w:cs="Noto Sans Symbols" w:eastAsia="Noto Sans Symbols" w:hAnsi="Noto Sans Symbols"/>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Noto Sans Symbols" w:cs="Noto Sans Symbols" w:eastAsia="Noto Sans Symbols" w:hAnsi="Noto Sans Symbols"/>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Noto Sans Symbols" w:cs="Noto Sans Symbols" w:eastAsia="Noto Sans Symbols" w:hAnsi="Noto Sans Symbols"/>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4">
    <w:lvl w:ilvl="0">
      <w:start w:val="1"/>
      <w:numFmt w:val="decimal"/>
      <w:lvlText w:val="%1."/>
      <w:lvlJc w:val="left"/>
      <w:pPr>
        <w:ind w:left="360" w:hanging="360"/>
      </w:pPr>
      <w:rPr/>
    </w:lvl>
    <w:lvl w:ilvl="1">
      <w:start w:val="1"/>
      <w:numFmt w:val="decimal"/>
      <w:lvlText w:val="%1.%2."/>
      <w:lvlJc w:val="left"/>
      <w:pPr>
        <w:ind w:left="792" w:hanging="432"/>
      </w:pPr>
      <w:rPr>
        <w:b w:val="0"/>
        <w:i w:val="0"/>
        <w:strike w:val="0"/>
        <w:sz w:val="24"/>
        <w:szCs w:val="24"/>
      </w:rPr>
    </w:lvl>
    <w:lvl w:ilvl="2">
      <w:start w:val="1"/>
      <w:numFmt w:val="decimal"/>
      <w:lvlText w:val="%3)"/>
      <w:lvlJc w:val="left"/>
      <w:pPr>
        <w:ind w:left="504" w:hanging="504"/>
      </w:pPr>
      <w:rPr>
        <w:rFonts w:ascii="Titillium" w:cs="Titillium" w:eastAsia="Titillium" w:hAnsi="Titillium"/>
        <w:b w:val="0"/>
        <w:i w:val="0"/>
        <w:strike w:val="0"/>
        <w:sz w:val="18"/>
        <w:szCs w:val="18"/>
      </w:rPr>
    </w:lvl>
    <w:lvl w:ilvl="3">
      <w:start w:val="1"/>
      <w:numFmt w:val="lowerLetter"/>
      <w:lvlText w:val="%4)"/>
      <w:lvlJc w:val="left"/>
      <w:pPr>
        <w:ind w:left="932" w:hanging="648"/>
      </w:pPr>
      <w:rPr>
        <w:b w:val="0"/>
        <w:strike w:val="0"/>
        <w:color w:val="000000"/>
        <w:sz w:val="24"/>
        <w:szCs w:val="24"/>
      </w:rPr>
    </w:lvl>
    <w:lvl w:ilvl="4">
      <w:start w:val="1"/>
      <w:numFmt w:val="decimal"/>
      <w:lvlText w:val="%1.%2.%3.%4.%5."/>
      <w:lvlJc w:val="left"/>
      <w:pPr>
        <w:ind w:left="2069" w:hanging="792"/>
      </w:pPr>
      <w:rPr/>
    </w:lvl>
    <w:lvl w:ilvl="5">
      <w:start w:val="1"/>
      <w:numFmt w:val="decimal"/>
      <w:lvlText w:val="%1.%2.%3.%4.%5.%6."/>
      <w:lvlJc w:val="left"/>
      <w:pPr>
        <w:ind w:left="2736" w:hanging="935.9999999999998"/>
      </w:pPr>
      <w:rPr/>
    </w:lvl>
    <w:lvl w:ilvl="6">
      <w:start w:val="1"/>
      <w:numFmt w:val="decimal"/>
      <w:lvlText w:val="%1.%2.%3.%4.%5.%6.%7."/>
      <w:lvlJc w:val="left"/>
      <w:pPr>
        <w:ind w:left="3240" w:hanging="1080"/>
      </w:pPr>
      <w:rPr/>
    </w:lvl>
    <w:lvl w:ilvl="7">
      <w:start w:val="1"/>
      <w:numFmt w:val="decimal"/>
      <w:lvlText w:val="%1.%2.%3.%4.%5.%6.%7.%8."/>
      <w:lvlJc w:val="left"/>
      <w:pPr>
        <w:ind w:left="3744" w:hanging="1224.0000000000005"/>
      </w:pPr>
      <w:rPr/>
    </w:lvl>
    <w:lvl w:ilvl="8">
      <w:start w:val="1"/>
      <w:numFmt w:val="decimal"/>
      <w:lvlText w:val="%1.%2.%3.%4.%5.%6.%7.%8.%9."/>
      <w:lvlJc w:val="left"/>
      <w:pPr>
        <w:ind w:left="4320" w:hanging="1440"/>
      </w:pPr>
      <w:rPr/>
    </w:lvl>
  </w:abstractNum>
  <w:abstractNum w:abstractNumId="35">
    <w:lvl w:ilvl="0">
      <w:start w:val="1"/>
      <w:numFmt w:val="decimal"/>
      <w:lvlText w:val="%1."/>
      <w:lvlJc w:val="left"/>
      <w:pPr>
        <w:ind w:left="720" w:hanging="360"/>
      </w:pPr>
      <w:rPr/>
    </w:lvl>
    <w:lvl w:ilvl="1">
      <w:start w:val="1"/>
      <w:numFmt w:val="bullet"/>
      <w:lvlText w:val="-"/>
      <w:lvlJc w:val="left"/>
      <w:pPr>
        <w:ind w:left="1440" w:hanging="360"/>
      </w:pPr>
      <w:rPr>
        <w:rFonts w:ascii="Titilium" w:cs="Titilium" w:eastAsia="Titilium" w:hAnsi="Titilium"/>
        <w:color w:val="000000"/>
        <w:sz w:val="18"/>
        <w:szCs w:val="18"/>
      </w:rPr>
    </w:lvl>
    <w:lvl w:ilvl="2">
      <w:start w:val="1"/>
      <w:numFmt w:val="lowerLetter"/>
      <w:lvlText w:val="%3)"/>
      <w:lvlJc w:val="left"/>
      <w:pPr>
        <w:ind w:left="360" w:hanging="360"/>
      </w:pPr>
      <w:rPr>
        <w:rFonts w:ascii="Titillium" w:cs="Titillium" w:eastAsia="Titillium" w:hAnsi="Titillium"/>
        <w:i w:val="0"/>
        <w:color w:val="000000"/>
        <w:sz w:val="18"/>
        <w:szCs w:val="18"/>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Noto Sans Symbols" w:cs="Noto Sans Symbols" w:eastAsia="Noto Sans Symbols" w:hAnsi="Noto Sans Symbols"/>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Noto Sans Symbols" w:cs="Noto Sans Symbols" w:eastAsia="Noto Sans Symbols" w:hAnsi="Noto Sans Symbols"/>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Noto Sans Symbols" w:cs="Noto Sans Symbols" w:eastAsia="Noto Sans Symbols" w:hAnsi="Noto Sans Symbols"/>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Garamond" w:cs="Garamond" w:eastAsia="Garamond" w:hAnsi="Garamond"/>
        <w:sz w:val="24"/>
        <w:szCs w:val="24"/>
        <w:lang w:val="it-IT"/>
      </w:rPr>
    </w:rPrDefault>
    <w:pPrDefault>
      <w:pPr>
        <w:spacing w:line="276"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60" w:before="240" w:lineRule="auto"/>
    </w:pPr>
    <w:rPr>
      <w:rFonts w:ascii="Titillium" w:cs="Titillium" w:eastAsia="Titillium" w:hAnsi="Titillium"/>
      <w:b w:val="1"/>
      <w:sz w:val="18"/>
      <w:szCs w:val="18"/>
    </w:rPr>
  </w:style>
  <w:style w:type="paragraph" w:styleId="Heading2">
    <w:name w:val="heading 2"/>
    <w:basedOn w:val="Normal"/>
    <w:next w:val="Normal"/>
    <w:pPr>
      <w:keepNext w:val="1"/>
      <w:spacing w:after="60" w:before="240" w:lineRule="auto"/>
    </w:pPr>
    <w:rPr>
      <w:rFonts w:ascii="Titillium" w:cs="Titillium" w:eastAsia="Titillium" w:hAnsi="Titillium"/>
      <w:b w:val="1"/>
      <w:sz w:val="18"/>
      <w:szCs w:val="18"/>
    </w:rPr>
  </w:style>
  <w:style w:type="paragraph" w:styleId="Heading3">
    <w:name w:val="heading 3"/>
    <w:basedOn w:val="Normal"/>
    <w:next w:val="Normal"/>
    <w:pPr>
      <w:keepNext w:val="1"/>
      <w:spacing w:after="60" w:before="240" w:lineRule="auto"/>
    </w:pPr>
    <w:rPr>
      <w:b w:val="1"/>
      <w:smallCaps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b w:val="1"/>
      <w:i w:val="1"/>
      <w:sz w:val="26"/>
      <w:szCs w:val="26"/>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60" w:before="240" w:lineRule="auto"/>
      <w:jc w:val="center"/>
    </w:pPr>
    <w:rPr>
      <w:rFonts w:ascii="Cambria" w:cs="Cambria" w:eastAsia="Cambria" w:hAnsi="Cambria"/>
      <w:b w:val="1"/>
      <w:sz w:val="32"/>
      <w:szCs w:val="32"/>
    </w:rPr>
  </w:style>
  <w:style w:type="paragraph" w:styleId="Subtitle">
    <w:name w:val="Subtitle"/>
    <w:basedOn w:val="Normal"/>
    <w:next w:val="Normal"/>
    <w:pPr>
      <w:spacing w:after="60" w:lineRule="auto"/>
      <w:jc w:val="center"/>
    </w:pPr>
    <w:rPr>
      <w:rFonts w:ascii="Cambria" w:cs="Cambria" w:eastAsia="Cambria" w:hAnsi="Cambria"/>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108.0" w:type="dxa"/>
        <w:bottom w:w="0.0" w:type="dxa"/>
        <w:right w:w="108.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0.0" w:type="dxa"/>
        <w:left w:w="108.0" w:type="dxa"/>
        <w:bottom w:w="0.0" w:type="dxa"/>
        <w:right w:w="108.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0.0" w:type="dxa"/>
        <w:left w:w="115.0" w:type="dxa"/>
        <w:bottom w:w="0.0" w:type="dxa"/>
        <w:right w:w="115.0" w:type="dxa"/>
      </w:tblCellMar>
    </w:tblPr>
  </w:style>
  <w:style w:type="table" w:styleId="Table14">
    <w:basedOn w:val="TableNormal"/>
    <w:tblPr>
      <w:tblStyleRowBandSize w:val="1"/>
      <w:tblStyleColBandSize w:val="1"/>
      <w:tblCellMar>
        <w:top w:w="0.0" w:type="dxa"/>
        <w:left w:w="115.0" w:type="dxa"/>
        <w:bottom w:w="0.0" w:type="dxa"/>
        <w:right w:w="115.0" w:type="dxa"/>
      </w:tblCellMar>
    </w:tblPr>
  </w:style>
  <w:style w:type="table" w:styleId="Table15">
    <w:basedOn w:val="TableNormal"/>
    <w:tblPr>
      <w:tblStyleRowBandSize w:val="1"/>
      <w:tblStyleColBandSize w:val="1"/>
      <w:tblCellMar>
        <w:top w:w="0.0" w:type="dxa"/>
        <w:left w:w="115.0" w:type="dxa"/>
        <w:bottom w:w="0.0" w:type="dxa"/>
        <w:right w:w="115.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www.bancaditalia.it/compiti/vigilanza/avvisi-pub/garanzie-finanziarie/" TargetMode="External"/><Relationship Id="rId22" Type="http://schemas.openxmlformats.org/officeDocument/2006/relationships/hyperlink" Target="https://www.anticorruzione.it/-/gestione-contributi-gara" TargetMode="External"/><Relationship Id="rId21" Type="http://schemas.openxmlformats.org/officeDocument/2006/relationships/hyperlink" Target="http://www.ivass.it/ivass/imprese_jsp/HomePage.jsp" TargetMode="External"/><Relationship Id="rId24" Type="http://schemas.openxmlformats.org/officeDocument/2006/relationships/hyperlink" Target="https://www.arpae.it/it/arpae/amministrazione-trasparente/disposizioni-generali/codice-disciplinare-e-codice-di-condotta" TargetMode="External"/><Relationship Id="rId23" Type="http://schemas.openxmlformats.org/officeDocument/2006/relationships/hyperlink" Target="https://www.anticorruzione.it/-/portale-dei-pagamenti-di-anac"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piattaformaintercenter.regione.emiliaromagna.it/portale_ic/" TargetMode="External"/><Relationship Id="rId26" Type="http://schemas.openxmlformats.org/officeDocument/2006/relationships/hyperlink" Target="http://intercenter.regione.emilia-romagna.it/agenzia/utilizzo-del-sistema/guide/" TargetMode="External"/><Relationship Id="rId25" Type="http://schemas.openxmlformats.org/officeDocument/2006/relationships/hyperlink" Target="http://bd01.leggiditalia.it/cgi-bin/FulShow?TIPO=5&amp;NOTXT=1&amp;KEY=01LX0000107749ART67" TargetMode="External"/><Relationship Id="rId28" Type="http://schemas.openxmlformats.org/officeDocument/2006/relationships/hyperlink" Target="http://www.arpae.it/" TargetMode="External"/><Relationship Id="rId27" Type="http://schemas.openxmlformats.org/officeDocument/2006/relationships/hyperlink" Target="https://apps.arpae.it/REST//media/652fb45c3eb15f7c189e2ff4" TargetMode="External"/><Relationship Id="rId5" Type="http://schemas.openxmlformats.org/officeDocument/2006/relationships/styles" Target="styles.xml"/><Relationship Id="rId6" Type="http://schemas.openxmlformats.org/officeDocument/2006/relationships/hyperlink" Target="https://intercenter.regione.emilia-romagna.it/servizi-imprese/bandi-altri-enti/bandi-e-avvisi-altri-enti" TargetMode="External"/><Relationship Id="rId29" Type="http://schemas.openxmlformats.org/officeDocument/2006/relationships/hyperlink" Target="mailto:dpo@arpae.it" TargetMode="External"/><Relationship Id="rId7" Type="http://schemas.openxmlformats.org/officeDocument/2006/relationships/hyperlink" Target="mailto:ebortolotti@arpae.it" TargetMode="External"/><Relationship Id="rId8" Type="http://schemas.openxmlformats.org/officeDocument/2006/relationships/hyperlink" Target="https://intercenter.regione.emiliaromagna.it/sistema-acquisti-sater/regolamenti" TargetMode="External"/><Relationship Id="rId31" Type="http://schemas.openxmlformats.org/officeDocument/2006/relationships/footer" Target="footer1.xml"/><Relationship Id="rId30" Type="http://schemas.openxmlformats.org/officeDocument/2006/relationships/header" Target="header1.xml"/><Relationship Id="rId11" Type="http://schemas.openxmlformats.org/officeDocument/2006/relationships/hyperlink" Target="https://intercenter.regione.emilia-romagna.it/help/guide" TargetMode="External"/><Relationship Id="rId10" Type="http://schemas.openxmlformats.org/officeDocument/2006/relationships/hyperlink" Target="http://intercenter.regione.emilia-romagna.it/help/guide" TargetMode="External"/><Relationship Id="rId13" Type="http://schemas.openxmlformats.org/officeDocument/2006/relationships/hyperlink" Target="https://intercenter.regione.emilia-romagna.it/servizi-imprese/bandi-altri-enti/bandi-e-avvisi-altri-enti" TargetMode="External"/><Relationship Id="rId12" Type="http://schemas.openxmlformats.org/officeDocument/2006/relationships/hyperlink" Target="http://www" TargetMode="External"/><Relationship Id="rId15" Type="http://schemas.openxmlformats.org/officeDocument/2006/relationships/hyperlink" Target="https://www.arpae.it/it/bandi-gara/bandi-di-servizi" TargetMode="External"/><Relationship Id="rId14" Type="http://schemas.openxmlformats.org/officeDocument/2006/relationships/hyperlink" Target="https://intercenter.regione.emilia-romagna.it/servizi-imprese/bandi-altri-enti/bandi-e-avvisi-altri-enti" TargetMode="External"/><Relationship Id="rId17" Type="http://schemas.openxmlformats.org/officeDocument/2006/relationships/hyperlink" Target="http://www.anticorruzione.it/" TargetMode="External"/><Relationship Id="rId16" Type="http://schemas.openxmlformats.org/officeDocument/2006/relationships/hyperlink" Target="https://apps.arpae.it/REST//media/61b71ffa6e91d8b41ccaa127" TargetMode="External"/><Relationship Id="rId19" Type="http://schemas.openxmlformats.org/officeDocument/2006/relationships/hyperlink" Target="http://www.bancaditalia.it/compiti/vigilanza/intermediari/index.html" TargetMode="External"/><Relationship Id="rId18" Type="http://schemas.openxmlformats.org/officeDocument/2006/relationships/hyperlink" Target="https://www.bosettiegatti.eu/info/norme/statali/1993_0385.htm#107"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BookAntiqua-italic.ttf"/><Relationship Id="rId10" Type="http://schemas.openxmlformats.org/officeDocument/2006/relationships/font" Target="fonts/BookAntiqua-bold.ttf"/><Relationship Id="rId13" Type="http://schemas.openxmlformats.org/officeDocument/2006/relationships/font" Target="fonts/NotoSansSymbols-regular.ttf"/><Relationship Id="rId12" Type="http://schemas.openxmlformats.org/officeDocument/2006/relationships/font" Target="fonts/BookAntiqua-boldItalic.ttf"/><Relationship Id="rId1" Type="http://schemas.openxmlformats.org/officeDocument/2006/relationships/font" Target="fonts/Garamond-regular.ttf"/><Relationship Id="rId2" Type="http://schemas.openxmlformats.org/officeDocument/2006/relationships/font" Target="fonts/Garamond-bold.ttf"/><Relationship Id="rId3" Type="http://schemas.openxmlformats.org/officeDocument/2006/relationships/font" Target="fonts/Garamond-italic.ttf"/><Relationship Id="rId4" Type="http://schemas.openxmlformats.org/officeDocument/2006/relationships/font" Target="fonts/Garamond-boldItalic.ttf"/><Relationship Id="rId9" Type="http://schemas.openxmlformats.org/officeDocument/2006/relationships/font" Target="fonts/BookAntiqua-regular.ttf"/><Relationship Id="rId14" Type="http://schemas.openxmlformats.org/officeDocument/2006/relationships/font" Target="fonts/NotoSansSymbols-bold.ttf"/><Relationship Id="rId5" Type="http://schemas.openxmlformats.org/officeDocument/2006/relationships/font" Target="fonts/ArialNarrow-regular.ttf"/><Relationship Id="rId6" Type="http://schemas.openxmlformats.org/officeDocument/2006/relationships/font" Target="fonts/ArialNarrow-bold.ttf"/><Relationship Id="rId7" Type="http://schemas.openxmlformats.org/officeDocument/2006/relationships/font" Target="fonts/ArialNarrow-italic.ttf"/><Relationship Id="rId8" Type="http://schemas.openxmlformats.org/officeDocument/2006/relationships/font" Target="fonts/ArialNarrow-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